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15304"/>
      </w:tblGrid>
      <w:tr w:rsidRPr="00982061" w:rsidR="00685B70" w:rsidTr="005B7CCF" w14:paraId="0285FF66" w14:textId="77777777">
        <w:trPr>
          <w:trHeight w:val="1089"/>
        </w:trPr>
        <w:tc>
          <w:tcPr>
            <w:tcW w:w="15304" w:type="dxa"/>
            <w:vAlign w:val="center"/>
          </w:tcPr>
          <w:p w:rsidRPr="00A0168C" w:rsidR="00685B70" w:rsidP="39769E0F" w:rsidRDefault="00BC474F" w14:paraId="18D22D72" w14:textId="18467963">
            <w:pPr>
              <w:jc w:val="center"/>
              <w:rPr>
                <w:rFonts w:ascii="Arial" w:hAnsi="Arial"/>
                <w:b/>
                <w:bCs/>
                <w:i/>
                <w:iCs/>
                <w:u w:val="single"/>
              </w:rPr>
            </w:pPr>
            <w:r>
              <w:rPr>
                <w:rFonts w:ascii="Arial" w:hAnsi="Arial"/>
                <w:b/>
                <w:bCs/>
                <w:i/>
                <w:iCs/>
                <w:u w:val="single"/>
              </w:rPr>
              <w:t>New Struan</w:t>
            </w:r>
            <w:r w:rsidRPr="00A0168C" w:rsidR="001B5151">
              <w:rPr>
                <w:rFonts w:ascii="Arial" w:hAnsi="Arial"/>
                <w:b/>
                <w:bCs/>
                <w:i/>
                <w:iCs/>
                <w:u w:val="single"/>
              </w:rPr>
              <w:t xml:space="preserve"> School</w:t>
            </w:r>
          </w:p>
          <w:p w:rsidRPr="004B730B" w:rsidR="001B5151" w:rsidP="004B730B" w:rsidRDefault="004B730B" w14:paraId="122C8CB0" w14:textId="5668DF1F">
            <w:pPr>
              <w:jc w:val="center"/>
              <w:rPr>
                <w:rFonts w:ascii="Arial" w:hAnsi="Arial"/>
                <w:i/>
                <w:szCs w:val="24"/>
              </w:rPr>
            </w:pPr>
            <w:r w:rsidRPr="004B730B">
              <w:rPr>
                <w:rFonts w:ascii="Arial" w:hAnsi="Arial"/>
                <w:i/>
                <w:szCs w:val="24"/>
              </w:rPr>
              <w:t>Included, confident learners in the community</w:t>
            </w:r>
          </w:p>
          <w:p w:rsidRPr="004B730B" w:rsidR="00685B70" w:rsidP="004B730B" w:rsidRDefault="00685B70" w14:paraId="31ED9551" w14:textId="7987C78E">
            <w:pPr>
              <w:jc w:val="center"/>
              <w:rPr>
                <w:rFonts w:ascii="Arial" w:hAnsi="Arial"/>
                <w:b/>
                <w:szCs w:val="24"/>
                <w:u w:val="single"/>
              </w:rPr>
            </w:pPr>
            <w:r w:rsidRPr="00A0168C">
              <w:rPr>
                <w:rFonts w:ascii="Arial" w:hAnsi="Arial"/>
                <w:b/>
                <w:szCs w:val="24"/>
                <w:u w:val="single"/>
              </w:rPr>
              <w:t>Standards and Quality Report</w:t>
            </w:r>
            <w:r w:rsidR="005C537D">
              <w:rPr>
                <w:rFonts w:ascii="Arial" w:hAnsi="Arial"/>
                <w:b/>
                <w:szCs w:val="24"/>
                <w:u w:val="single"/>
              </w:rPr>
              <w:t xml:space="preserve"> 2022 to 2023</w:t>
            </w:r>
          </w:p>
        </w:tc>
      </w:tr>
    </w:tbl>
    <w:p w:rsidR="00685B70" w:rsidP="00685B70" w:rsidRDefault="00685B70" w14:paraId="4E6F7514" w14:textId="77777777">
      <w:pPr>
        <w:rPr>
          <w:rFonts w:ascii="Arial" w:hAnsi="Arial"/>
          <w:b/>
          <w:color w:val="auto"/>
          <w:sz w:val="22"/>
          <w:szCs w:val="22"/>
        </w:rPr>
      </w:pPr>
    </w:p>
    <w:tbl>
      <w:tblPr>
        <w:tblStyle w:val="TableGrid"/>
        <w:tblW w:w="15304" w:type="dxa"/>
        <w:tblLook w:val="04A0" w:firstRow="1" w:lastRow="0" w:firstColumn="1" w:lastColumn="0" w:noHBand="0" w:noVBand="1"/>
      </w:tblPr>
      <w:tblGrid>
        <w:gridCol w:w="15304"/>
      </w:tblGrid>
      <w:tr w:rsidRPr="00982061" w:rsidR="00D12CA2" w:rsidTr="35831371" w14:paraId="6C29453A" w14:textId="77777777">
        <w:trPr>
          <w:trHeight w:val="165"/>
        </w:trPr>
        <w:tc>
          <w:tcPr>
            <w:tcW w:w="15304" w:type="dxa"/>
            <w:tcMar/>
          </w:tcPr>
          <w:p w:rsidR="00D12CA2" w:rsidP="008F6546" w:rsidRDefault="00D12CA2" w14:paraId="60042176" w14:textId="5BD0C297">
            <w:pPr>
              <w:jc w:val="center"/>
              <w:rPr>
                <w:rFonts w:ascii="Arial" w:hAnsi="Arial"/>
                <w:b/>
                <w:szCs w:val="24"/>
                <w:u w:val="single"/>
              </w:rPr>
            </w:pPr>
            <w:r>
              <w:rPr>
                <w:rFonts w:ascii="Arial" w:hAnsi="Arial"/>
                <w:b/>
                <w:szCs w:val="24"/>
                <w:u w:val="single"/>
              </w:rPr>
              <w:t>About our school</w:t>
            </w:r>
          </w:p>
          <w:p w:rsidRPr="005B7CCF" w:rsidR="005B7CCF" w:rsidP="005B7CCF" w:rsidRDefault="005B7CCF" w14:paraId="2D900290" w14:textId="23711B02">
            <w:pPr>
              <w:rPr>
                <w:rFonts w:eastAsia="Calibri" w:asciiTheme="minorHAnsi" w:hAnsiTheme="minorHAnsi" w:cstheme="minorHAnsi"/>
                <w:color w:val="4C4C4D"/>
                <w:sz w:val="20"/>
              </w:rPr>
            </w:pPr>
            <w:r w:rsidRPr="005B7CCF">
              <w:rPr>
                <w:rFonts w:asciiTheme="minorHAnsi" w:hAnsiTheme="minorHAnsi" w:cstheme="minorHAnsi"/>
                <w:sz w:val="20"/>
              </w:rPr>
              <w:t xml:space="preserve">New Struan School is an independent day and residential school located in Alloa for pupils between the ages of 5 and 19. </w:t>
            </w:r>
            <w:r w:rsidRPr="005B7CCF">
              <w:rPr>
                <w:rFonts w:eastAsia="Calibri" w:asciiTheme="minorHAnsi" w:hAnsiTheme="minorHAnsi" w:cstheme="minorHAnsi"/>
                <w:color w:val="4C4C4D"/>
                <w:sz w:val="20"/>
              </w:rPr>
              <w:t>We cater for pupils across the autism spectrum with different levels of communication, social understanding and sens</w:t>
            </w:r>
            <w:r w:rsidR="006A36D9">
              <w:rPr>
                <w:rFonts w:eastAsia="Calibri" w:asciiTheme="minorHAnsi" w:hAnsiTheme="minorHAnsi" w:cstheme="minorHAnsi"/>
                <w:color w:val="4C4C4D"/>
                <w:sz w:val="20"/>
              </w:rPr>
              <w:t xml:space="preserve">ory needs.  We </w:t>
            </w:r>
            <w:r w:rsidR="004528EE">
              <w:rPr>
                <w:rFonts w:eastAsia="Calibri" w:asciiTheme="minorHAnsi" w:hAnsiTheme="minorHAnsi" w:cstheme="minorHAnsi"/>
                <w:color w:val="4C4C4D"/>
                <w:sz w:val="20"/>
              </w:rPr>
              <w:t>currently have 18 pupils from 10</w:t>
            </w:r>
            <w:r w:rsidRPr="005B7CCF">
              <w:rPr>
                <w:rFonts w:eastAsia="Calibri" w:asciiTheme="minorHAnsi" w:hAnsiTheme="minorHAnsi" w:cstheme="minorHAnsi"/>
                <w:color w:val="4C4C4D"/>
                <w:sz w:val="20"/>
              </w:rPr>
              <w:t xml:space="preserve"> different local authorities. </w:t>
            </w:r>
          </w:p>
          <w:p w:rsidRPr="005B7CCF" w:rsidR="005B7CCF" w:rsidP="005B7CCF" w:rsidRDefault="005B7CCF" w14:paraId="08BF22E9" w14:textId="77777777">
            <w:pPr>
              <w:rPr>
                <w:rFonts w:eastAsia="Calibri" w:asciiTheme="minorHAnsi" w:hAnsiTheme="minorHAnsi" w:cstheme="minorHAnsi"/>
                <w:color w:val="4C4C4D"/>
                <w:sz w:val="20"/>
              </w:rPr>
            </w:pPr>
            <w:r w:rsidRPr="005B7CCF">
              <w:rPr>
                <w:rFonts w:eastAsia="Calibri" w:asciiTheme="minorHAnsi" w:hAnsiTheme="minorHAnsi" w:cstheme="minorHAnsi"/>
                <w:color w:val="4C4C4D"/>
                <w:sz w:val="20"/>
              </w:rPr>
              <w:t>Our vision is to enable our pupils to become included, confident learners in the community. We know that young autistic people can be successful learners and we strive to provide the structured and supportive environment which enables them to reach their full potential.</w:t>
            </w:r>
          </w:p>
          <w:p w:rsidRPr="005B7CCF" w:rsidR="00D12CA2" w:rsidP="005B7CCF" w:rsidRDefault="005B7CCF" w14:paraId="7231662A" w14:textId="25016C49">
            <w:pPr>
              <w:rPr>
                <w:rFonts w:eastAsia="Calibri" w:asciiTheme="minorHAnsi" w:hAnsiTheme="minorHAnsi" w:cstheme="minorHAnsi"/>
                <w:color w:val="4C4C4D"/>
                <w:sz w:val="20"/>
              </w:rPr>
            </w:pPr>
            <w:r w:rsidRPr="005B7CCF">
              <w:rPr>
                <w:rFonts w:eastAsia="Calibri" w:asciiTheme="minorHAnsi" w:hAnsiTheme="minorHAnsi" w:cstheme="minorHAnsi"/>
                <w:color w:val="4C4C4D"/>
                <w:sz w:val="20"/>
              </w:rPr>
              <w:t xml:space="preserve">New Struan School is part of Scotland’s national autism charity, </w:t>
            </w:r>
            <w:hyperlink r:id="rId10">
              <w:r w:rsidRPr="005B7CCF">
                <w:rPr>
                  <w:rStyle w:val="Hyperlink"/>
                  <w:rFonts w:eastAsia="Calibri" w:asciiTheme="minorHAnsi" w:hAnsiTheme="minorHAnsi" w:cstheme="minorHAnsi"/>
                  <w:sz w:val="20"/>
                </w:rPr>
                <w:t>Scottish Autism</w:t>
              </w:r>
            </w:hyperlink>
            <w:r w:rsidRPr="005B7CCF">
              <w:rPr>
                <w:rFonts w:eastAsia="Calibri" w:asciiTheme="minorHAnsi" w:hAnsiTheme="minorHAnsi" w:cstheme="minorHAnsi"/>
                <w:color w:val="4C4C4D"/>
                <w:sz w:val="20"/>
              </w:rPr>
              <w:t xml:space="preserve"> which enables autistic people to lead happ</w:t>
            </w:r>
            <w:r>
              <w:rPr>
                <w:rFonts w:eastAsia="Calibri" w:asciiTheme="minorHAnsi" w:hAnsiTheme="minorHAnsi" w:cstheme="minorHAnsi"/>
                <w:color w:val="4C4C4D"/>
                <w:sz w:val="20"/>
              </w:rPr>
              <w:t>y, healthy and fulfilling lives.</w:t>
            </w:r>
          </w:p>
        </w:tc>
      </w:tr>
      <w:tr w:rsidRPr="00982061" w:rsidR="006D1C09" w:rsidTr="35831371" w14:paraId="09E45953" w14:textId="77777777">
        <w:trPr>
          <w:trHeight w:val="165"/>
        </w:trPr>
        <w:tc>
          <w:tcPr>
            <w:tcW w:w="15304" w:type="dxa"/>
            <w:tcMar/>
          </w:tcPr>
          <w:p w:rsidRPr="008F6546" w:rsidR="008F6546" w:rsidP="008F6546" w:rsidRDefault="008F6546" w14:paraId="4878F433" w14:textId="5295AE87">
            <w:pPr>
              <w:jc w:val="center"/>
              <w:rPr>
                <w:rFonts w:ascii="Arial" w:hAnsi="Arial"/>
                <w:b/>
                <w:szCs w:val="24"/>
                <w:u w:val="single"/>
              </w:rPr>
            </w:pPr>
            <w:r>
              <w:rPr>
                <w:rFonts w:ascii="Arial" w:hAnsi="Arial"/>
                <w:b/>
                <w:szCs w:val="24"/>
                <w:u w:val="single"/>
              </w:rPr>
              <w:t>Sc</w:t>
            </w:r>
            <w:r w:rsidR="005C537D">
              <w:rPr>
                <w:rFonts w:ascii="Arial" w:hAnsi="Arial"/>
                <w:b/>
                <w:szCs w:val="24"/>
                <w:u w:val="single"/>
              </w:rPr>
              <w:t>hool Improvement Priorities 2022 to 2023</w:t>
            </w:r>
          </w:p>
          <w:p w:rsidRPr="006A36D9" w:rsidR="006D1C09" w:rsidP="006A36D9" w:rsidRDefault="006A36D9" w14:paraId="4A43E2AB" w14:textId="77777777">
            <w:pPr>
              <w:pStyle w:val="ListParagraph"/>
              <w:numPr>
                <w:ilvl w:val="0"/>
                <w:numId w:val="10"/>
              </w:numPr>
              <w:rPr>
                <w:rFonts w:asciiTheme="minorHAnsi" w:hAnsiTheme="minorHAnsi" w:cstheme="minorHAnsi"/>
                <w:sz w:val="20"/>
              </w:rPr>
            </w:pPr>
            <w:r w:rsidRPr="006A36D9">
              <w:rPr>
                <w:rFonts w:asciiTheme="minorHAnsi" w:hAnsiTheme="minorHAnsi" w:cstheme="minorHAnsi"/>
                <w:sz w:val="20"/>
                <w:lang w:val="en-US"/>
              </w:rPr>
              <w:t>Continuing our Learning for Sustainability curriculum</w:t>
            </w:r>
            <w:r w:rsidRPr="006A36D9">
              <w:rPr>
                <w:rFonts w:asciiTheme="minorHAnsi" w:hAnsiTheme="minorHAnsi" w:cstheme="minorHAnsi"/>
                <w:b/>
                <w:bCs/>
                <w:sz w:val="20"/>
                <w:lang w:val="en-US"/>
              </w:rPr>
              <w:t xml:space="preserve"> </w:t>
            </w:r>
            <w:r w:rsidRPr="006A36D9">
              <w:rPr>
                <w:rFonts w:asciiTheme="minorHAnsi" w:hAnsiTheme="minorHAnsi" w:cstheme="minorHAnsi"/>
                <w:sz w:val="20"/>
                <w:lang w:val="en-US"/>
              </w:rPr>
              <w:t>including our work on the United Nations Convention on Rights of the Child (UNCRC)</w:t>
            </w:r>
            <w:r w:rsidRPr="006A36D9">
              <w:rPr>
                <w:rFonts w:asciiTheme="minorHAnsi" w:hAnsiTheme="minorHAnsi" w:cstheme="minorHAnsi"/>
                <w:sz w:val="20"/>
              </w:rPr>
              <w:t> </w:t>
            </w:r>
          </w:p>
          <w:p w:rsidRPr="006A36D9" w:rsidR="006A36D9" w:rsidP="006A36D9" w:rsidRDefault="006A36D9" w14:paraId="0545909B" w14:textId="77777777">
            <w:pPr>
              <w:pStyle w:val="ListParagraph"/>
              <w:numPr>
                <w:ilvl w:val="0"/>
                <w:numId w:val="10"/>
              </w:numPr>
              <w:rPr>
                <w:rFonts w:asciiTheme="minorHAnsi" w:hAnsiTheme="minorHAnsi" w:cstheme="minorHAnsi"/>
                <w:sz w:val="20"/>
              </w:rPr>
            </w:pPr>
            <w:r w:rsidRPr="006A36D9">
              <w:rPr>
                <w:rFonts w:asciiTheme="minorHAnsi" w:hAnsiTheme="minorHAnsi" w:cstheme="minorHAnsi"/>
                <w:sz w:val="20"/>
                <w:lang w:val="en-US"/>
              </w:rPr>
              <w:t>Refreshing our curriculum rationale with a focus on learning and play rooted in an understanding of the unique developmental profile of each of our learners.</w:t>
            </w:r>
            <w:r w:rsidRPr="006A36D9">
              <w:rPr>
                <w:rFonts w:asciiTheme="minorHAnsi" w:hAnsiTheme="minorHAnsi" w:cstheme="minorHAnsi"/>
                <w:sz w:val="20"/>
              </w:rPr>
              <w:t> </w:t>
            </w:r>
          </w:p>
          <w:p w:rsidRPr="006A36D9" w:rsidR="006A36D9" w:rsidP="006A36D9" w:rsidRDefault="006A36D9" w14:paraId="01A16A9D" w14:textId="15FCF956">
            <w:pPr>
              <w:pStyle w:val="ListParagraph"/>
              <w:numPr>
                <w:ilvl w:val="0"/>
                <w:numId w:val="10"/>
              </w:numPr>
              <w:rPr>
                <w:rFonts w:asciiTheme="minorHAnsi" w:hAnsiTheme="minorHAnsi" w:cstheme="minorHAnsi"/>
                <w:sz w:val="20"/>
              </w:rPr>
            </w:pPr>
            <w:r w:rsidRPr="006A36D9">
              <w:rPr>
                <w:rFonts w:asciiTheme="minorHAnsi" w:hAnsiTheme="minorHAnsi" w:cstheme="minorHAnsi"/>
                <w:sz w:val="20"/>
                <w:lang w:val="en-US"/>
              </w:rPr>
              <w:t>Continue to develop our practice and shared understanding of the Low Arousal Approach and consider how this shapes our community and the life of our school.</w:t>
            </w:r>
            <w:r w:rsidRPr="006A36D9">
              <w:rPr>
                <w:rFonts w:asciiTheme="minorHAnsi" w:hAnsiTheme="minorHAnsi" w:cstheme="minorHAnsi"/>
                <w:sz w:val="20"/>
              </w:rPr>
              <w:t> </w:t>
            </w:r>
          </w:p>
        </w:tc>
      </w:tr>
      <w:tr w:rsidRPr="00982061" w:rsidR="004B730B" w:rsidTr="35831371" w14:paraId="52624755" w14:textId="77777777">
        <w:trPr>
          <w:trHeight w:val="165"/>
        </w:trPr>
        <w:tc>
          <w:tcPr>
            <w:tcW w:w="15304" w:type="dxa"/>
            <w:tcMar/>
          </w:tcPr>
          <w:p w:rsidR="004B730B" w:rsidP="00D12CA2" w:rsidRDefault="00D12CA2" w14:paraId="35EC8339" w14:textId="5161609A">
            <w:pPr>
              <w:rPr>
                <w:rFonts w:ascii="Arial" w:hAnsi="Arial"/>
                <w:b/>
                <w:szCs w:val="24"/>
              </w:rPr>
            </w:pPr>
            <w:r w:rsidRPr="56501B57" w:rsidR="00D12CA2">
              <w:rPr>
                <w:rFonts w:ascii="Arial" w:hAnsi="Arial"/>
                <w:b w:val="1"/>
                <w:bCs w:val="1"/>
              </w:rPr>
              <w:t>What has gone well?</w:t>
            </w:r>
          </w:p>
          <w:p w:rsidR="3489E39F" w:rsidP="56501B57" w:rsidRDefault="3489E39F" w14:paraId="08E5953B" w14:textId="16094215">
            <w:pPr>
              <w:pStyle w:val="Normal"/>
              <w:bidi w:val="0"/>
              <w:spacing w:before="0" w:beforeAutospacing="off" w:after="200" w:afterAutospacing="off" w:line="276" w:lineRule="auto"/>
              <w:ind w:left="0" w:right="0"/>
              <w:jc w:val="left"/>
              <w:rPr>
                <w:rFonts w:ascii="Calibri" w:hAnsi="Calibri" w:eastAsia="Calibri" w:cs="Calibri" w:asciiTheme="minorAscii" w:hAnsiTheme="minorAscii" w:eastAsiaTheme="minorAscii" w:cstheme="minorAscii"/>
                <w:b w:val="0"/>
                <w:bCs w:val="0"/>
                <w:sz w:val="20"/>
                <w:szCs w:val="20"/>
              </w:rPr>
            </w:pPr>
            <w:r w:rsidRPr="4FC65E02" w:rsidR="3489E39F">
              <w:rPr>
                <w:rFonts w:ascii="Calibri" w:hAnsi="Calibri" w:eastAsia="Calibri" w:cs="Calibri" w:asciiTheme="minorAscii" w:hAnsiTheme="minorAscii" w:eastAsiaTheme="minorAscii" w:cstheme="minorAscii"/>
                <w:b w:val="0"/>
                <w:bCs w:val="0"/>
                <w:sz w:val="20"/>
                <w:szCs w:val="20"/>
              </w:rPr>
              <w:t>We have had t</w:t>
            </w:r>
            <w:r w:rsidRPr="4FC65E02" w:rsidR="2C412293">
              <w:rPr>
                <w:rFonts w:ascii="Calibri" w:hAnsi="Calibri" w:eastAsia="Calibri" w:cs="Calibri" w:asciiTheme="minorAscii" w:hAnsiTheme="minorAscii" w:eastAsiaTheme="minorAscii" w:cstheme="minorAscii"/>
                <w:b w:val="0"/>
                <w:bCs w:val="0"/>
                <w:sz w:val="20"/>
                <w:szCs w:val="20"/>
              </w:rPr>
              <w:t>hree</w:t>
            </w:r>
            <w:r w:rsidRPr="4FC65E02" w:rsidR="3489E39F">
              <w:rPr>
                <w:rFonts w:ascii="Calibri" w:hAnsi="Calibri" w:eastAsia="Calibri" w:cs="Calibri" w:asciiTheme="minorAscii" w:hAnsiTheme="minorAscii" w:eastAsiaTheme="minorAscii" w:cstheme="minorAscii"/>
                <w:b w:val="0"/>
                <w:bCs w:val="0"/>
                <w:sz w:val="20"/>
                <w:szCs w:val="20"/>
              </w:rPr>
              <w:t xml:space="preserve"> </w:t>
            </w:r>
            <w:r w:rsidRPr="4FC65E02" w:rsidR="3489E39F">
              <w:rPr>
                <w:rFonts w:ascii="Calibri" w:hAnsi="Calibri" w:eastAsia="Calibri" w:cs="Calibri" w:asciiTheme="minorAscii" w:hAnsiTheme="minorAscii" w:eastAsiaTheme="minorAscii" w:cstheme="minorAscii"/>
                <w:b w:val="0"/>
                <w:bCs w:val="0"/>
                <w:sz w:val="20"/>
                <w:szCs w:val="20"/>
              </w:rPr>
              <w:t>very successful</w:t>
            </w:r>
            <w:r w:rsidRPr="4FC65E02" w:rsidR="3489E39F">
              <w:rPr>
                <w:rFonts w:ascii="Calibri" w:hAnsi="Calibri" w:eastAsia="Calibri" w:cs="Calibri" w:asciiTheme="minorAscii" w:hAnsiTheme="minorAscii" w:eastAsiaTheme="minorAscii" w:cstheme="minorAscii"/>
                <w:b w:val="0"/>
                <w:bCs w:val="0"/>
                <w:sz w:val="20"/>
                <w:szCs w:val="20"/>
              </w:rPr>
              <w:t xml:space="preserve"> </w:t>
            </w:r>
            <w:r w:rsidRPr="4FC65E02" w:rsidR="6105A991">
              <w:rPr>
                <w:rFonts w:ascii="Calibri" w:hAnsi="Calibri" w:eastAsia="Calibri" w:cs="Calibri" w:asciiTheme="minorAscii" w:hAnsiTheme="minorAscii" w:eastAsiaTheme="minorAscii" w:cstheme="minorAscii"/>
                <w:b w:val="0"/>
                <w:bCs w:val="0"/>
                <w:sz w:val="20"/>
                <w:szCs w:val="20"/>
              </w:rPr>
              <w:t>transitions into our school community</w:t>
            </w:r>
            <w:r w:rsidRPr="4FC65E02" w:rsidR="4294C833">
              <w:rPr>
                <w:rFonts w:ascii="Calibri" w:hAnsi="Calibri" w:eastAsia="Calibri" w:cs="Calibri" w:asciiTheme="minorAscii" w:hAnsiTheme="minorAscii" w:eastAsiaTheme="minorAscii" w:cstheme="minorAscii"/>
                <w:b w:val="0"/>
                <w:bCs w:val="0"/>
                <w:sz w:val="20"/>
                <w:szCs w:val="20"/>
              </w:rPr>
              <w:t xml:space="preserve"> over this academic year with two being residential and one day placement. As a team we </w:t>
            </w:r>
            <w:r w:rsidRPr="4FC65E02" w:rsidR="7F4A9A85">
              <w:rPr>
                <w:rFonts w:ascii="Calibri" w:hAnsi="Calibri" w:eastAsia="Calibri" w:cs="Calibri" w:asciiTheme="minorAscii" w:hAnsiTheme="minorAscii" w:eastAsiaTheme="minorAscii" w:cstheme="minorAscii"/>
                <w:b w:val="0"/>
                <w:bCs w:val="0"/>
                <w:sz w:val="20"/>
                <w:szCs w:val="20"/>
              </w:rPr>
              <w:t xml:space="preserve">have been reflecting on our </w:t>
            </w:r>
            <w:r w:rsidRPr="4FC65E02" w:rsidR="7F4A9A85">
              <w:rPr>
                <w:rFonts w:ascii="Calibri" w:hAnsi="Calibri" w:eastAsia="Calibri" w:cs="Calibri" w:asciiTheme="minorAscii" w:hAnsiTheme="minorAscii" w:eastAsiaTheme="minorAscii" w:cstheme="minorAscii"/>
                <w:b w:val="0"/>
                <w:bCs w:val="0"/>
                <w:sz w:val="20"/>
                <w:szCs w:val="20"/>
              </w:rPr>
              <w:t>transi</w:t>
            </w:r>
            <w:r w:rsidRPr="4FC65E02" w:rsidR="714C9E28">
              <w:rPr>
                <w:rFonts w:ascii="Calibri" w:hAnsi="Calibri" w:eastAsia="Calibri" w:cs="Calibri" w:asciiTheme="minorAscii" w:hAnsiTheme="minorAscii" w:eastAsiaTheme="minorAscii" w:cstheme="minorAscii"/>
                <w:b w:val="0"/>
                <w:bCs w:val="0"/>
                <w:sz w:val="20"/>
                <w:szCs w:val="20"/>
              </w:rPr>
              <w:t>ti</w:t>
            </w:r>
            <w:r w:rsidRPr="4FC65E02" w:rsidR="7F4A9A85">
              <w:rPr>
                <w:rFonts w:ascii="Calibri" w:hAnsi="Calibri" w:eastAsia="Calibri" w:cs="Calibri" w:asciiTheme="minorAscii" w:hAnsiTheme="minorAscii" w:eastAsiaTheme="minorAscii" w:cstheme="minorAscii"/>
                <w:b w:val="0"/>
                <w:bCs w:val="0"/>
                <w:sz w:val="20"/>
                <w:szCs w:val="20"/>
              </w:rPr>
              <w:t>on</w:t>
            </w:r>
            <w:r w:rsidRPr="4FC65E02" w:rsidR="7F4A9A85">
              <w:rPr>
                <w:rFonts w:ascii="Calibri" w:hAnsi="Calibri" w:eastAsia="Calibri" w:cs="Calibri" w:asciiTheme="minorAscii" w:hAnsiTheme="minorAscii" w:eastAsiaTheme="minorAscii" w:cstheme="minorAscii"/>
                <w:b w:val="0"/>
                <w:bCs w:val="0"/>
                <w:sz w:val="20"/>
                <w:szCs w:val="20"/>
              </w:rPr>
              <w:t xml:space="preserve"> planning at admission and </w:t>
            </w:r>
            <w:r w:rsidRPr="4FC65E02" w:rsidR="1FBAEAD0">
              <w:rPr>
                <w:rFonts w:ascii="Calibri" w:hAnsi="Calibri" w:eastAsia="Calibri" w:cs="Calibri" w:asciiTheme="minorAscii" w:hAnsiTheme="minorAscii" w:eastAsiaTheme="minorAscii" w:cstheme="minorAscii"/>
                <w:b w:val="0"/>
                <w:bCs w:val="0"/>
                <w:sz w:val="20"/>
                <w:szCs w:val="20"/>
              </w:rPr>
              <w:t xml:space="preserve">ensuring that admissions are well paced and completely focused on the needs of the young person and their family. </w:t>
            </w:r>
          </w:p>
          <w:p w:rsidR="00C558C0" w:rsidP="56501B57" w:rsidRDefault="004528EE" w14:paraId="44D22A8D" w14:textId="103B342C">
            <w:pPr>
              <w:rPr>
                <w:rFonts w:ascii="Calibri" w:hAnsi="Calibri" w:cs="Calibri" w:asciiTheme="minorAscii" w:hAnsiTheme="minorAscii" w:cstheme="minorAscii"/>
                <w:sz w:val="20"/>
                <w:szCs w:val="20"/>
              </w:rPr>
            </w:pPr>
            <w:r w:rsidRPr="35831371" w:rsidR="004528EE">
              <w:rPr>
                <w:rFonts w:ascii="Calibri" w:hAnsi="Calibri" w:cs="Calibri" w:asciiTheme="minorAscii" w:hAnsiTheme="minorAscii" w:cstheme="minorAscii"/>
                <w:sz w:val="20"/>
                <w:szCs w:val="20"/>
              </w:rPr>
              <w:t>Our youn</w:t>
            </w:r>
            <w:r w:rsidRPr="35831371" w:rsidR="002D52DD">
              <w:rPr>
                <w:rFonts w:ascii="Calibri" w:hAnsi="Calibri" w:cs="Calibri" w:asciiTheme="minorAscii" w:hAnsiTheme="minorAscii" w:cstheme="minorAscii"/>
                <w:sz w:val="20"/>
                <w:szCs w:val="20"/>
              </w:rPr>
              <w:t xml:space="preserve">g people have achieved </w:t>
            </w:r>
            <w:r w:rsidRPr="35831371" w:rsidR="002D52DD">
              <w:rPr>
                <w:rFonts w:ascii="Calibri" w:hAnsi="Calibri" w:cs="Calibri" w:asciiTheme="minorAscii" w:hAnsiTheme="minorAscii" w:cstheme="minorAscii"/>
                <w:sz w:val="20"/>
                <w:szCs w:val="20"/>
              </w:rPr>
              <w:t xml:space="preserve">a number </w:t>
            </w:r>
            <w:r w:rsidRPr="35831371" w:rsidR="004528EE">
              <w:rPr>
                <w:rFonts w:ascii="Calibri" w:hAnsi="Calibri" w:cs="Calibri" w:asciiTheme="minorAscii" w:hAnsiTheme="minorAscii" w:cstheme="minorAscii"/>
                <w:sz w:val="20"/>
                <w:szCs w:val="20"/>
              </w:rPr>
              <w:t>of</w:t>
            </w:r>
            <w:r w:rsidRPr="35831371" w:rsidR="004528EE">
              <w:rPr>
                <w:rFonts w:ascii="Calibri" w:hAnsi="Calibri" w:cs="Calibri" w:asciiTheme="minorAscii" w:hAnsiTheme="minorAscii" w:cstheme="minorAscii"/>
                <w:sz w:val="20"/>
                <w:szCs w:val="20"/>
              </w:rPr>
              <w:t xml:space="preserve"> SQA Units an</w:t>
            </w:r>
            <w:r w:rsidRPr="35831371" w:rsidR="002D52DD">
              <w:rPr>
                <w:rFonts w:ascii="Calibri" w:hAnsi="Calibri" w:cs="Calibri" w:asciiTheme="minorAscii" w:hAnsiTheme="minorAscii" w:cstheme="minorAscii"/>
                <w:sz w:val="20"/>
                <w:szCs w:val="20"/>
              </w:rPr>
              <w:t xml:space="preserve">d accreditations including </w:t>
            </w:r>
            <w:r w:rsidRPr="35831371" w:rsidR="004528EE">
              <w:rPr>
                <w:rFonts w:ascii="Calibri" w:hAnsi="Calibri" w:cs="Calibri" w:asciiTheme="minorAscii" w:hAnsiTheme="minorAscii" w:cstheme="minorAscii"/>
                <w:sz w:val="20"/>
                <w:szCs w:val="20"/>
              </w:rPr>
              <w:t>awards in N</w:t>
            </w:r>
            <w:r w:rsidRPr="35831371" w:rsidR="002D52DD">
              <w:rPr>
                <w:rFonts w:ascii="Calibri" w:hAnsi="Calibri" w:cs="Calibri" w:asciiTheme="minorAscii" w:hAnsiTheme="minorAscii" w:cstheme="minorAscii"/>
                <w:sz w:val="20"/>
                <w:szCs w:val="20"/>
              </w:rPr>
              <w:t>ational 3 and National 4</w:t>
            </w:r>
            <w:r w:rsidRPr="35831371" w:rsidR="004528EE">
              <w:rPr>
                <w:rFonts w:ascii="Calibri" w:hAnsi="Calibri" w:cs="Calibri" w:asciiTheme="minorAscii" w:hAnsiTheme="minorAscii" w:cstheme="minorAscii"/>
                <w:sz w:val="20"/>
                <w:szCs w:val="20"/>
              </w:rPr>
              <w:t xml:space="preserve"> (see appendix 1 for the </w:t>
            </w:r>
            <w:r w:rsidRPr="35831371" w:rsidR="004528EE">
              <w:rPr>
                <w:rFonts w:ascii="Calibri" w:hAnsi="Calibri" w:cs="Calibri" w:asciiTheme="minorAscii" w:hAnsiTheme="minorAscii" w:cstheme="minorAscii"/>
                <w:sz w:val="20"/>
                <w:szCs w:val="20"/>
              </w:rPr>
              <w:t>3 year</w:t>
            </w:r>
            <w:r w:rsidRPr="35831371" w:rsidR="004528EE">
              <w:rPr>
                <w:rFonts w:ascii="Calibri" w:hAnsi="Calibri" w:cs="Calibri" w:asciiTheme="minorAscii" w:hAnsiTheme="minorAscii" w:cstheme="minorAscii"/>
                <w:sz w:val="20"/>
                <w:szCs w:val="20"/>
              </w:rPr>
              <w:t xml:space="preserve"> analysis). We also have young people achi</w:t>
            </w:r>
            <w:r w:rsidRPr="35831371" w:rsidR="002D52DD">
              <w:rPr>
                <w:rFonts w:ascii="Calibri" w:hAnsi="Calibri" w:cs="Calibri" w:asciiTheme="minorAscii" w:hAnsiTheme="minorAscii" w:cstheme="minorAscii"/>
                <w:sz w:val="20"/>
                <w:szCs w:val="20"/>
              </w:rPr>
              <w:t>eving accreditation in ASDAN</w:t>
            </w:r>
            <w:r w:rsidRPr="35831371" w:rsidR="004528EE">
              <w:rPr>
                <w:rFonts w:ascii="Calibri" w:hAnsi="Calibri" w:cs="Calibri" w:asciiTheme="minorAscii" w:hAnsiTheme="minorAscii" w:cstheme="minorAscii"/>
                <w:sz w:val="20"/>
                <w:szCs w:val="20"/>
              </w:rPr>
              <w:t>, High 5 and Dy</w:t>
            </w:r>
            <w:r w:rsidRPr="35831371" w:rsidR="002D52DD">
              <w:rPr>
                <w:rFonts w:ascii="Calibri" w:hAnsi="Calibri" w:cs="Calibri" w:asciiTheme="minorAscii" w:hAnsiTheme="minorAscii" w:cstheme="minorAscii"/>
                <w:sz w:val="20"/>
                <w:szCs w:val="20"/>
              </w:rPr>
              <w:t>namic Youth Awards</w:t>
            </w:r>
            <w:r w:rsidRPr="35831371" w:rsidR="00C558C0">
              <w:rPr>
                <w:rFonts w:ascii="Calibri" w:hAnsi="Calibri" w:cs="Calibri" w:asciiTheme="minorAscii" w:hAnsiTheme="minorAscii" w:cstheme="minorAscii"/>
                <w:sz w:val="20"/>
                <w:szCs w:val="20"/>
              </w:rPr>
              <w:t>.</w:t>
            </w:r>
            <w:r w:rsidRPr="35831371" w:rsidR="107237FC">
              <w:rPr>
                <w:rFonts w:ascii="Calibri" w:hAnsi="Calibri" w:cs="Calibri" w:asciiTheme="minorAscii" w:hAnsiTheme="minorAscii" w:cstheme="minorAscii"/>
                <w:sz w:val="20"/>
                <w:szCs w:val="20"/>
              </w:rPr>
              <w:t xml:space="preserve"> There also continue to be a range of positive destinations for our young people including a move to a new home for one </w:t>
            </w:r>
            <w:r w:rsidRPr="35831371" w:rsidR="255AFCDF">
              <w:rPr>
                <w:rFonts w:ascii="Calibri" w:hAnsi="Calibri" w:cs="Calibri" w:asciiTheme="minorAscii" w:hAnsiTheme="minorAscii" w:cstheme="minorAscii"/>
                <w:sz w:val="20"/>
                <w:szCs w:val="20"/>
              </w:rPr>
              <w:t>in his own community and a fulltime college placement for another.</w:t>
            </w:r>
            <w:r w:rsidRPr="35831371" w:rsidR="4F10C5FF">
              <w:rPr>
                <w:rFonts w:ascii="Calibri" w:hAnsi="Calibri" w:cs="Calibri" w:asciiTheme="minorAscii" w:hAnsiTheme="minorAscii" w:cstheme="minorAscii"/>
                <w:sz w:val="20"/>
                <w:szCs w:val="20"/>
              </w:rPr>
              <w:t xml:space="preserve"> Our </w:t>
            </w:r>
            <w:r w:rsidRPr="35831371" w:rsidR="581F58E6">
              <w:rPr>
                <w:rFonts w:ascii="Calibri" w:hAnsi="Calibri" w:cs="Calibri" w:asciiTheme="minorAscii" w:hAnsiTheme="minorAscii" w:cstheme="minorAscii"/>
                <w:sz w:val="20"/>
                <w:szCs w:val="20"/>
              </w:rPr>
              <w:t xml:space="preserve">progress </w:t>
            </w:r>
            <w:r w:rsidRPr="35831371" w:rsidR="4F10C5FF">
              <w:rPr>
                <w:rFonts w:ascii="Calibri" w:hAnsi="Calibri" w:cs="Calibri" w:asciiTheme="minorAscii" w:hAnsiTheme="minorAscii" w:cstheme="minorAscii"/>
                <w:sz w:val="20"/>
                <w:szCs w:val="20"/>
              </w:rPr>
              <w:t>tracking data at BGE</w:t>
            </w:r>
            <w:r w:rsidRPr="35831371" w:rsidR="230D38BE">
              <w:rPr>
                <w:rFonts w:ascii="Calibri" w:hAnsi="Calibri" w:cs="Calibri" w:asciiTheme="minorAscii" w:hAnsiTheme="minorAscii" w:cstheme="minorAscii"/>
                <w:sz w:val="20"/>
                <w:szCs w:val="20"/>
              </w:rPr>
              <w:t xml:space="preserve"> (see appendix 2)</w:t>
            </w:r>
            <w:r w:rsidRPr="35831371" w:rsidR="4F10C5FF">
              <w:rPr>
                <w:rFonts w:ascii="Calibri" w:hAnsi="Calibri" w:cs="Calibri" w:asciiTheme="minorAscii" w:hAnsiTheme="minorAscii" w:cstheme="minorAscii"/>
                <w:sz w:val="20"/>
                <w:szCs w:val="20"/>
              </w:rPr>
              <w:t xml:space="preserve"> also shows that 83</w:t>
            </w:r>
            <w:r w:rsidRPr="35831371" w:rsidR="4F10C5FF">
              <w:rPr>
                <w:rFonts w:ascii="Calibri" w:hAnsi="Calibri" w:cs="Calibri" w:asciiTheme="minorAscii" w:hAnsiTheme="minorAscii" w:cstheme="minorAscii"/>
                <w:sz w:val="20"/>
                <w:szCs w:val="20"/>
              </w:rPr>
              <w:t xml:space="preserve">% </w:t>
            </w:r>
            <w:r w:rsidRPr="35831371" w:rsidR="0CAD8182">
              <w:rPr>
                <w:rFonts w:ascii="Calibri" w:hAnsi="Calibri" w:cs="Calibri" w:asciiTheme="minorAscii" w:hAnsiTheme="minorAscii" w:cstheme="minorAscii"/>
                <w:sz w:val="20"/>
                <w:szCs w:val="20"/>
              </w:rPr>
              <w:t xml:space="preserve"> </w:t>
            </w:r>
            <w:r w:rsidRPr="35831371" w:rsidR="4F10C5FF">
              <w:rPr>
                <w:rFonts w:ascii="Calibri" w:hAnsi="Calibri" w:cs="Calibri" w:asciiTheme="minorAscii" w:hAnsiTheme="minorAscii" w:cstheme="minorAscii"/>
                <w:sz w:val="20"/>
                <w:szCs w:val="20"/>
              </w:rPr>
              <w:t xml:space="preserve">of our young people are working at or exceeding their </w:t>
            </w:r>
            <w:r w:rsidRPr="35831371" w:rsidR="321227DC">
              <w:rPr>
                <w:rFonts w:ascii="Calibri" w:hAnsi="Calibri" w:cs="Calibri" w:asciiTheme="minorAscii" w:hAnsiTheme="minorAscii" w:cstheme="minorAscii"/>
                <w:sz w:val="20"/>
                <w:szCs w:val="20"/>
              </w:rPr>
              <w:t xml:space="preserve">individual targets </w:t>
            </w:r>
            <w:r w:rsidRPr="35831371" w:rsidR="210B55E0">
              <w:rPr>
                <w:rFonts w:ascii="Calibri" w:hAnsi="Calibri" w:cs="Calibri" w:asciiTheme="minorAscii" w:hAnsiTheme="minorAscii" w:cstheme="minorAscii"/>
                <w:sz w:val="20"/>
                <w:szCs w:val="20"/>
              </w:rPr>
              <w:t xml:space="preserve">across Literacy, Numeracy and Health and Wellbeing. </w:t>
            </w:r>
          </w:p>
          <w:p w:rsidR="00C558C0" w:rsidP="004528EE" w:rsidRDefault="00C558C0" w14:paraId="6C7B44DC" w14:textId="534489AE">
            <w:pPr>
              <w:rPr>
                <w:rFonts w:asciiTheme="minorHAnsi" w:hAnsiTheme="minorHAnsi" w:cstheme="minorHAnsi"/>
                <w:sz w:val="20"/>
              </w:rPr>
            </w:pPr>
            <w:r>
              <w:rPr>
                <w:rFonts w:asciiTheme="minorHAnsi" w:hAnsiTheme="minorHAnsi" w:cstheme="minorHAnsi"/>
                <w:sz w:val="20"/>
              </w:rPr>
              <w:t xml:space="preserve">Learning for Sustainability and in particular our approaches to the UNCRC continues to be an integral part of the life and work of the school. </w:t>
            </w:r>
            <w:r w:rsidR="00EF5F19">
              <w:rPr>
                <w:rFonts w:asciiTheme="minorHAnsi" w:hAnsiTheme="minorHAnsi" w:cstheme="minorHAnsi"/>
                <w:sz w:val="20"/>
              </w:rPr>
              <w:t xml:space="preserve">Whilst we had planned these as a </w:t>
            </w:r>
            <w:r>
              <w:rPr>
                <w:rFonts w:asciiTheme="minorHAnsi" w:hAnsiTheme="minorHAnsi" w:cstheme="minorHAnsi"/>
                <w:sz w:val="20"/>
              </w:rPr>
              <w:t>strand of focus it has become clear that our curriculum and approaches have these woven in</w:t>
            </w:r>
            <w:r w:rsidR="00EF5F19">
              <w:rPr>
                <w:rFonts w:asciiTheme="minorHAnsi" w:hAnsiTheme="minorHAnsi" w:cstheme="minorHAnsi"/>
                <w:sz w:val="20"/>
              </w:rPr>
              <w:t xml:space="preserve"> throughout all our development</w:t>
            </w:r>
            <w:r>
              <w:rPr>
                <w:rFonts w:asciiTheme="minorHAnsi" w:hAnsiTheme="minorHAnsi" w:cstheme="minorHAnsi"/>
                <w:sz w:val="20"/>
              </w:rPr>
              <w:t>. We can see the success of this work in our tracking of engagement and in the progress and achievements our youn</w:t>
            </w:r>
            <w:r w:rsidR="00EF5F19">
              <w:rPr>
                <w:rFonts w:asciiTheme="minorHAnsi" w:hAnsiTheme="minorHAnsi" w:cstheme="minorHAnsi"/>
                <w:sz w:val="20"/>
              </w:rPr>
              <w:t>g people make in their individual curriculum experiences.</w:t>
            </w:r>
          </w:p>
          <w:p w:rsidR="70029A2B" w:rsidP="3C408C71" w:rsidRDefault="70029A2B" w14:paraId="3144BE56" w14:textId="7D57B4A9">
            <w:pPr>
              <w:pStyle w:val="Normal"/>
              <w:spacing w:after="160" w:line="259" w:lineRule="auto"/>
              <w:rPr>
                <w:rFonts w:ascii="Calibri" w:hAnsi="Calibri" w:eastAsia="Calibri" w:cs="Calibri"/>
                <w:b w:val="0"/>
                <w:bCs w:val="0"/>
                <w:i w:val="0"/>
                <w:iCs w:val="0"/>
                <w:caps w:val="0"/>
                <w:smallCaps w:val="0"/>
                <w:noProof w:val="0"/>
                <w:color w:val="000000" w:themeColor="text1" w:themeTint="FF" w:themeShade="FF"/>
                <w:sz w:val="20"/>
                <w:szCs w:val="20"/>
                <w:lang w:val="en-US"/>
              </w:rPr>
            </w:pPr>
            <w:r w:rsidRPr="3C408C71" w:rsidR="3C70DD29">
              <w:rPr>
                <w:rFonts w:ascii="Calibri" w:hAnsi="Calibri" w:cs="Calibri" w:asciiTheme="minorAscii" w:hAnsiTheme="minorAscii" w:cstheme="minorAscii"/>
                <w:sz w:val="20"/>
                <w:szCs w:val="20"/>
              </w:rPr>
              <w:t>Play peda</w:t>
            </w:r>
            <w:r w:rsidRPr="3C408C71" w:rsidR="31A43526">
              <w:rPr>
                <w:rFonts w:ascii="Calibri" w:hAnsi="Calibri" w:cs="Calibri" w:asciiTheme="minorAscii" w:hAnsiTheme="minorAscii" w:cstheme="minorAscii"/>
                <w:sz w:val="20"/>
                <w:szCs w:val="20"/>
              </w:rPr>
              <w:t>gogy</w:t>
            </w:r>
            <w:r w:rsidRPr="3C408C71" w:rsidR="31A4352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C408C71" w:rsidR="31A43526">
              <w:rPr>
                <w:rFonts w:ascii="Calibri" w:hAnsi="Calibri" w:eastAsia="Calibri" w:cs="Calibri"/>
                <w:b w:val="0"/>
                <w:bCs w:val="0"/>
                <w:i w:val="0"/>
                <w:iCs w:val="0"/>
                <w:caps w:val="0"/>
                <w:smallCaps w:val="0"/>
                <w:noProof w:val="0"/>
                <w:color w:val="000000" w:themeColor="text1" w:themeTint="FF" w:themeShade="FF"/>
                <w:sz w:val="20"/>
                <w:szCs w:val="20"/>
                <w:lang w:val="en-GB"/>
              </w:rPr>
              <w:t>was a significant area of focus across the year and we adopted the 4 E’s approach to implementation (Explore, Experiment, Expand and Embed). This has allowed us to move at a sensible pace for staff to ensure quality and depth of understanding.</w:t>
            </w:r>
            <w:r w:rsidRPr="3C408C71" w:rsidR="24FA2CAD">
              <w:rPr>
                <w:rFonts w:ascii="Calibri" w:hAnsi="Calibri" w:eastAsia="Calibri" w:cs="Calibri"/>
                <w:b w:val="0"/>
                <w:bCs w:val="0"/>
                <w:i w:val="0"/>
                <w:iCs w:val="0"/>
                <w:caps w:val="0"/>
                <w:smallCaps w:val="0"/>
                <w:noProof w:val="0"/>
                <w:color w:val="000000" w:themeColor="text1" w:themeTint="FF" w:themeShade="FF"/>
                <w:sz w:val="20"/>
                <w:szCs w:val="20"/>
                <w:lang w:val="en-GB"/>
              </w:rPr>
              <w:t xml:space="preserve"> </w:t>
            </w:r>
            <w:r w:rsidRPr="3C408C71" w:rsidR="24FA2CAD">
              <w:rPr>
                <w:rFonts w:ascii="Calibri" w:hAnsi="Calibri" w:eastAsia="Calibri" w:cs="Calibri"/>
                <w:b w:val="0"/>
                <w:bCs w:val="0"/>
                <w:i w:val="0"/>
                <w:iCs w:val="0"/>
                <w:caps w:val="0"/>
                <w:smallCaps w:val="0"/>
                <w:noProof w:val="0"/>
                <w:color w:val="000000" w:themeColor="text1" w:themeTint="FF" w:themeShade="FF"/>
                <w:sz w:val="20"/>
                <w:szCs w:val="20"/>
                <w:lang w:val="en-GB"/>
              </w:rPr>
              <w:t>In order to</w:t>
            </w:r>
            <w:r w:rsidRPr="3C408C71" w:rsidR="24FA2CAD">
              <w:rPr>
                <w:rFonts w:ascii="Calibri" w:hAnsi="Calibri" w:eastAsia="Calibri" w:cs="Calibri"/>
                <w:b w:val="0"/>
                <w:bCs w:val="0"/>
                <w:i w:val="0"/>
                <w:iCs w:val="0"/>
                <w:caps w:val="0"/>
                <w:smallCaps w:val="0"/>
                <w:noProof w:val="0"/>
                <w:color w:val="000000" w:themeColor="text1" w:themeTint="FF" w:themeShade="FF"/>
                <w:sz w:val="20"/>
                <w:szCs w:val="20"/>
                <w:lang w:val="en-GB"/>
              </w:rPr>
              <w:t xml:space="preserve"> track progress towards individual milestones and learning we have </w:t>
            </w:r>
            <w:r w:rsidRPr="3C408C71" w:rsidR="24FA2CAD">
              <w:rPr>
                <w:rFonts w:ascii="Calibri" w:hAnsi="Calibri" w:eastAsia="Calibri" w:cs="Calibri"/>
                <w:b w:val="0"/>
                <w:bCs w:val="0"/>
                <w:i w:val="0"/>
                <w:iCs w:val="0"/>
                <w:caps w:val="0"/>
                <w:smallCaps w:val="0"/>
                <w:noProof w:val="0"/>
                <w:color w:val="000000" w:themeColor="text1" w:themeTint="FF" w:themeShade="FF"/>
                <w:sz w:val="20"/>
                <w:szCs w:val="20"/>
                <w:lang w:val="en-GB"/>
              </w:rPr>
              <w:t>consolidated</w:t>
            </w:r>
            <w:r w:rsidRPr="3C408C71" w:rsidR="24FA2CAD">
              <w:rPr>
                <w:rFonts w:ascii="Calibri" w:hAnsi="Calibri" w:eastAsia="Calibri" w:cs="Calibri"/>
                <w:b w:val="0"/>
                <w:bCs w:val="0"/>
                <w:i w:val="0"/>
                <w:iCs w:val="0"/>
                <w:caps w:val="0"/>
                <w:smallCaps w:val="0"/>
                <w:noProof w:val="0"/>
                <w:color w:val="000000" w:themeColor="text1" w:themeTint="FF" w:themeShade="FF"/>
                <w:sz w:val="20"/>
                <w:szCs w:val="20"/>
                <w:lang w:val="en-GB"/>
              </w:rPr>
              <w:t xml:space="preserve"> our use of </w:t>
            </w:r>
            <w:r w:rsidRPr="3C408C71" w:rsidR="24FA2CAD">
              <w:rPr>
                <w:rFonts w:ascii="Calibri" w:hAnsi="Calibri" w:eastAsia="Calibri" w:cs="Calibri"/>
                <w:b w:val="0"/>
                <w:bCs w:val="0"/>
                <w:i w:val="0"/>
                <w:iCs w:val="0"/>
                <w:caps w:val="0"/>
                <w:smallCaps w:val="0"/>
                <w:noProof w:val="0"/>
                <w:color w:val="000000" w:themeColor="text1" w:themeTint="FF" w:themeShade="FF"/>
                <w:sz w:val="20"/>
                <w:szCs w:val="20"/>
                <w:lang w:val="en-GB"/>
              </w:rPr>
              <w:t>B</w:t>
            </w:r>
            <w:r w:rsidRPr="3C408C71" w:rsidR="43F2B85D">
              <w:rPr>
                <w:rFonts w:ascii="Calibri" w:hAnsi="Calibri" w:eastAsia="Calibri" w:cs="Calibri"/>
                <w:b w:val="0"/>
                <w:bCs w:val="0"/>
                <w:i w:val="0"/>
                <w:iCs w:val="0"/>
                <w:caps w:val="0"/>
                <w:smallCaps w:val="0"/>
                <w:noProof w:val="0"/>
                <w:color w:val="000000" w:themeColor="text1" w:themeTint="FF" w:themeShade="FF"/>
                <w:sz w:val="20"/>
                <w:szCs w:val="20"/>
                <w:lang w:val="en-GB"/>
              </w:rPr>
              <w:t>Squared</w:t>
            </w:r>
            <w:r w:rsidRPr="3C408C71" w:rsidR="43F2B85D">
              <w:rPr>
                <w:rFonts w:ascii="Calibri" w:hAnsi="Calibri" w:eastAsia="Calibri" w:cs="Calibri"/>
                <w:b w:val="0"/>
                <w:bCs w:val="0"/>
                <w:i w:val="0"/>
                <w:iCs w:val="0"/>
                <w:caps w:val="0"/>
                <w:smallCaps w:val="0"/>
                <w:noProof w:val="0"/>
                <w:color w:val="000000" w:themeColor="text1" w:themeTint="FF" w:themeShade="FF"/>
                <w:sz w:val="20"/>
                <w:szCs w:val="20"/>
                <w:lang w:val="en-GB"/>
              </w:rPr>
              <w:t xml:space="preserve"> and report on this to </w:t>
            </w:r>
            <w:r w:rsidRPr="3C408C71" w:rsidR="42F18477">
              <w:rPr>
                <w:rFonts w:ascii="Calibri" w:hAnsi="Calibri" w:eastAsia="Calibri" w:cs="Calibri"/>
                <w:b w:val="0"/>
                <w:bCs w:val="0"/>
                <w:i w:val="0"/>
                <w:iCs w:val="0"/>
                <w:caps w:val="0"/>
                <w:smallCaps w:val="0"/>
                <w:noProof w:val="0"/>
                <w:color w:val="000000" w:themeColor="text1" w:themeTint="FF" w:themeShade="FF"/>
                <w:sz w:val="20"/>
                <w:szCs w:val="20"/>
                <w:lang w:val="en-GB"/>
              </w:rPr>
              <w:t>families</w:t>
            </w:r>
            <w:r w:rsidRPr="3C408C71" w:rsidR="43F2B85D">
              <w:rPr>
                <w:rFonts w:ascii="Calibri" w:hAnsi="Calibri" w:eastAsia="Calibri" w:cs="Calibri"/>
                <w:b w:val="0"/>
                <w:bCs w:val="0"/>
                <w:i w:val="0"/>
                <w:iCs w:val="0"/>
                <w:caps w:val="0"/>
                <w:smallCaps w:val="0"/>
                <w:noProof w:val="0"/>
                <w:color w:val="000000" w:themeColor="text1" w:themeTint="FF" w:themeShade="FF"/>
                <w:sz w:val="20"/>
                <w:szCs w:val="20"/>
                <w:lang w:val="en-GB"/>
              </w:rPr>
              <w:t xml:space="preserve"> and partners through </w:t>
            </w:r>
            <w:r w:rsidRPr="3C408C71" w:rsidR="76390AFB">
              <w:rPr>
                <w:rFonts w:ascii="Calibri" w:hAnsi="Calibri" w:eastAsia="Calibri" w:cs="Calibri"/>
                <w:b w:val="0"/>
                <w:bCs w:val="0"/>
                <w:i w:val="0"/>
                <w:iCs w:val="0"/>
                <w:caps w:val="0"/>
                <w:smallCaps w:val="0"/>
                <w:noProof w:val="0"/>
                <w:color w:val="000000" w:themeColor="text1" w:themeTint="FF" w:themeShade="FF"/>
                <w:sz w:val="20"/>
                <w:szCs w:val="20"/>
                <w:lang w:val="en-GB"/>
              </w:rPr>
              <w:t>Evidence</w:t>
            </w:r>
            <w:r w:rsidRPr="3C408C71" w:rsidR="03B5B80A">
              <w:rPr>
                <w:rFonts w:ascii="Calibri" w:hAnsi="Calibri" w:eastAsia="Calibri" w:cs="Calibri"/>
                <w:b w:val="0"/>
                <w:bCs w:val="0"/>
                <w:i w:val="0"/>
                <w:iCs w:val="0"/>
                <w:caps w:val="0"/>
                <w:smallCaps w:val="0"/>
                <w:noProof w:val="0"/>
                <w:color w:val="000000" w:themeColor="text1" w:themeTint="FF" w:themeShade="FF"/>
                <w:sz w:val="20"/>
                <w:szCs w:val="20"/>
                <w:lang w:val="en-GB"/>
              </w:rPr>
              <w:t>.</w:t>
            </w:r>
            <w:r w:rsidRPr="3C408C71" w:rsidR="3364E002">
              <w:rPr>
                <w:rFonts w:ascii="Calibri" w:hAnsi="Calibri" w:eastAsia="Calibri" w:cs="Calibri"/>
                <w:b w:val="0"/>
                <w:bCs w:val="0"/>
                <w:i w:val="0"/>
                <w:iCs w:val="0"/>
                <w:caps w:val="0"/>
                <w:smallCaps w:val="0"/>
                <w:noProof w:val="0"/>
                <w:color w:val="000000" w:themeColor="text1" w:themeTint="FF" w:themeShade="FF"/>
                <w:sz w:val="20"/>
                <w:szCs w:val="20"/>
                <w:lang w:val="en-GB"/>
              </w:rPr>
              <w:t xml:space="preserve"> Our Depute Head teacher has now completed the Froebel in Childhood course which </w:t>
            </w:r>
            <w:r w:rsidRPr="3C408C71" w:rsidR="7EB29425">
              <w:rPr>
                <w:rFonts w:ascii="Calibri" w:hAnsi="Calibri" w:eastAsia="Calibri" w:cs="Calibri"/>
                <w:b w:val="0"/>
                <w:bCs w:val="0"/>
                <w:i w:val="0"/>
                <w:iCs w:val="0"/>
                <w:caps w:val="0"/>
                <w:smallCaps w:val="0"/>
                <w:noProof w:val="0"/>
                <w:color w:val="000000" w:themeColor="text1" w:themeTint="FF" w:themeShade="FF"/>
                <w:sz w:val="20"/>
                <w:szCs w:val="20"/>
                <w:lang w:val="en-GB"/>
              </w:rPr>
              <w:t>continues</w:t>
            </w:r>
            <w:r w:rsidRPr="3C408C71" w:rsidR="3364E002">
              <w:rPr>
                <w:rFonts w:ascii="Calibri" w:hAnsi="Calibri" w:eastAsia="Calibri" w:cs="Calibri"/>
                <w:b w:val="0"/>
                <w:bCs w:val="0"/>
                <w:i w:val="0"/>
                <w:iCs w:val="0"/>
                <w:caps w:val="0"/>
                <w:smallCaps w:val="0"/>
                <w:noProof w:val="0"/>
                <w:color w:val="000000" w:themeColor="text1" w:themeTint="FF" w:themeShade="FF"/>
                <w:sz w:val="20"/>
                <w:szCs w:val="20"/>
                <w:lang w:val="en-GB"/>
              </w:rPr>
              <w:t xml:space="preserve"> to </w:t>
            </w:r>
            <w:r w:rsidRPr="3C408C71" w:rsidR="08EB10F7">
              <w:rPr>
                <w:rFonts w:ascii="Calibri" w:hAnsi="Calibri" w:eastAsia="Calibri" w:cs="Calibri"/>
                <w:b w:val="0"/>
                <w:bCs w:val="0"/>
                <w:i w:val="0"/>
                <w:iCs w:val="0"/>
                <w:caps w:val="0"/>
                <w:smallCaps w:val="0"/>
                <w:noProof w:val="0"/>
                <w:color w:val="000000" w:themeColor="text1" w:themeTint="FF" w:themeShade="FF"/>
                <w:sz w:val="20"/>
                <w:szCs w:val="20"/>
                <w:lang w:val="en-GB"/>
              </w:rPr>
              <w:t>inform</w:t>
            </w:r>
            <w:r w:rsidRPr="3C408C71" w:rsidR="3364E002">
              <w:rPr>
                <w:rFonts w:ascii="Calibri" w:hAnsi="Calibri" w:eastAsia="Calibri" w:cs="Calibri"/>
                <w:b w:val="0"/>
                <w:bCs w:val="0"/>
                <w:i w:val="0"/>
                <w:iCs w:val="0"/>
                <w:caps w:val="0"/>
                <w:smallCaps w:val="0"/>
                <w:noProof w:val="0"/>
                <w:color w:val="000000" w:themeColor="text1" w:themeTint="FF" w:themeShade="FF"/>
                <w:sz w:val="20"/>
                <w:szCs w:val="20"/>
                <w:lang w:val="en-GB"/>
              </w:rPr>
              <w:t xml:space="preserve"> the practice we are developing</w:t>
            </w:r>
            <w:r w:rsidRPr="3C408C71" w:rsidR="3364E002">
              <w:rPr>
                <w:rFonts w:ascii="Calibri" w:hAnsi="Calibri" w:eastAsia="Calibri" w:cs="Calibri"/>
                <w:b w:val="0"/>
                <w:bCs w:val="0"/>
                <w:i w:val="0"/>
                <w:iCs w:val="0"/>
                <w:caps w:val="0"/>
                <w:smallCaps w:val="0"/>
                <w:noProof w:val="0"/>
                <w:color w:val="000000" w:themeColor="text1" w:themeTint="FF" w:themeShade="FF"/>
                <w:sz w:val="20"/>
                <w:szCs w:val="20"/>
                <w:lang w:val="en-GB"/>
              </w:rPr>
              <w:t xml:space="preserve">. </w:t>
            </w:r>
            <w:r w:rsidRPr="3C408C71" w:rsidR="03B5B80A">
              <w:rPr>
                <w:rFonts w:ascii="Calibri" w:hAnsi="Calibri" w:eastAsia="Calibri" w:cs="Calibri"/>
                <w:b w:val="0"/>
                <w:bCs w:val="0"/>
                <w:i w:val="0"/>
                <w:iCs w:val="0"/>
                <w:caps w:val="0"/>
                <w:smallCaps w:val="0"/>
                <w:noProof w:val="0"/>
                <w:color w:val="000000" w:themeColor="text1" w:themeTint="FF" w:themeShade="FF"/>
                <w:sz w:val="20"/>
                <w:szCs w:val="20"/>
                <w:lang w:val="en-GB"/>
              </w:rPr>
              <w:t xml:space="preserve"> </w:t>
            </w:r>
            <w:r w:rsidRPr="3C408C71" w:rsidR="31A43526">
              <w:rPr>
                <w:rFonts w:ascii="Calibri" w:hAnsi="Calibri" w:eastAsia="Calibri" w:cs="Calibri"/>
                <w:b w:val="0"/>
                <w:bCs w:val="0"/>
                <w:i w:val="0"/>
                <w:iCs w:val="0"/>
                <w:caps w:val="0"/>
                <w:smallCaps w:val="0"/>
                <w:noProof w:val="0"/>
                <w:color w:val="000000" w:themeColor="text1" w:themeTint="FF" w:themeShade="FF"/>
                <w:sz w:val="20"/>
                <w:szCs w:val="20"/>
                <w:lang w:val="en-GB"/>
              </w:rPr>
              <w:t xml:space="preserve"> </w:t>
            </w:r>
            <w:r w:rsidRPr="3C408C71" w:rsidR="1776EB98">
              <w:rPr>
                <w:rFonts w:ascii="Calibri" w:hAnsi="Calibri" w:eastAsia="Calibri" w:cs="Calibri"/>
                <w:b w:val="0"/>
                <w:bCs w:val="0"/>
                <w:i w:val="0"/>
                <w:iCs w:val="0"/>
                <w:caps w:val="0"/>
                <w:smallCaps w:val="0"/>
                <w:noProof w:val="0"/>
                <w:color w:val="000000" w:themeColor="text1" w:themeTint="FF" w:themeShade="FF"/>
                <w:sz w:val="20"/>
                <w:szCs w:val="20"/>
                <w:lang w:val="en-US"/>
              </w:rPr>
              <w:t>Across this</w:t>
            </w:r>
            <w:r w:rsidRPr="3C408C71" w:rsidR="1776EB98">
              <w:rPr>
                <w:rFonts w:ascii="Calibri" w:hAnsi="Calibri" w:eastAsia="Calibri" w:cs="Calibri"/>
                <w:b w:val="0"/>
                <w:bCs w:val="0"/>
                <w:i w:val="0"/>
                <w:iCs w:val="0"/>
                <w:caps w:val="0"/>
                <w:smallCaps w:val="0"/>
                <w:noProof w:val="0"/>
                <w:color w:val="000000" w:themeColor="text1" w:themeTint="FF" w:themeShade="FF"/>
                <w:sz w:val="20"/>
                <w:szCs w:val="20"/>
                <w:lang w:val="en-US"/>
              </w:rPr>
              <w:t xml:space="preserve"> year, we have been part of the Thrive Outdoors ASN pilot to help improve inclusive community play. This </w:t>
            </w:r>
            <w:r w:rsidRPr="3C408C71" w:rsidR="1776EB98">
              <w:rPr>
                <w:rFonts w:ascii="Calibri" w:hAnsi="Calibri" w:eastAsia="Calibri" w:cs="Calibri"/>
                <w:b w:val="0"/>
                <w:bCs w:val="0"/>
                <w:i w:val="0"/>
                <w:iCs w:val="0"/>
                <w:caps w:val="0"/>
                <w:smallCaps w:val="0"/>
                <w:noProof w:val="0"/>
                <w:color w:val="000000" w:themeColor="text1" w:themeTint="FF" w:themeShade="FF"/>
                <w:sz w:val="20"/>
                <w:szCs w:val="20"/>
                <w:lang w:val="en-US"/>
              </w:rPr>
              <w:t xml:space="preserve">has led </w:t>
            </w:r>
            <w:r w:rsidRPr="3C408C71" w:rsidR="1776EB98">
              <w:rPr>
                <w:rFonts w:ascii="Calibri" w:hAnsi="Calibri" w:eastAsia="Calibri" w:cs="Calibri"/>
                <w:b w:val="0"/>
                <w:bCs w:val="0"/>
                <w:i w:val="0"/>
                <w:iCs w:val="0"/>
                <w:caps w:val="0"/>
                <w:smallCaps w:val="0"/>
                <w:noProof w:val="0"/>
                <w:color w:val="000000" w:themeColor="text1" w:themeTint="FF" w:themeShade="FF"/>
                <w:sz w:val="20"/>
                <w:szCs w:val="20"/>
                <w:lang w:val="en-US"/>
              </w:rPr>
              <w:t>t</w:t>
            </w:r>
            <w:r w:rsidRPr="3C408C71" w:rsidR="1776EB98">
              <w:rPr>
                <w:rFonts w:ascii="Calibri" w:hAnsi="Calibri" w:eastAsia="Calibri" w:cs="Calibri"/>
                <w:b w:val="0"/>
                <w:bCs w:val="0"/>
                <w:i w:val="0"/>
                <w:iCs w:val="0"/>
                <w:caps w:val="0"/>
                <w:smallCaps w:val="0"/>
                <w:noProof w:val="0"/>
                <w:color w:val="000000" w:themeColor="text1" w:themeTint="FF" w:themeShade="FF"/>
                <w:sz w:val="20"/>
                <w:szCs w:val="20"/>
                <w:lang w:val="en-US"/>
              </w:rPr>
              <w:t>o man</w:t>
            </w:r>
            <w:r w:rsidRPr="3C408C71" w:rsidR="1776EB98">
              <w:rPr>
                <w:rFonts w:ascii="Calibri" w:hAnsi="Calibri" w:eastAsia="Calibri" w:cs="Calibri"/>
                <w:b w:val="0"/>
                <w:bCs w:val="0"/>
                <w:i w:val="0"/>
                <w:iCs w:val="0"/>
                <w:caps w:val="0"/>
                <w:smallCaps w:val="0"/>
                <w:noProof w:val="0"/>
                <w:color w:val="000000" w:themeColor="text1" w:themeTint="FF" w:themeShade="FF"/>
                <w:sz w:val="20"/>
                <w:szCs w:val="20"/>
                <w:lang w:val="en-US"/>
              </w:rPr>
              <w:t>y</w:t>
            </w:r>
            <w:r w:rsidRPr="3C408C71" w:rsidR="1776EB98">
              <w:rPr>
                <w:rFonts w:ascii="Calibri" w:hAnsi="Calibri" w:eastAsia="Calibri" w:cs="Calibri"/>
                <w:b w:val="0"/>
                <w:bCs w:val="0"/>
                <w:i w:val="0"/>
                <w:iCs w:val="0"/>
                <w:caps w:val="0"/>
                <w:smallCaps w:val="0"/>
                <w:noProof w:val="0"/>
                <w:color w:val="000000" w:themeColor="text1" w:themeTint="FF" w:themeShade="FF"/>
                <w:sz w:val="20"/>
                <w:szCs w:val="20"/>
                <w:lang w:val="en-US"/>
              </w:rPr>
              <w:t xml:space="preserve"> lin</w:t>
            </w:r>
            <w:r w:rsidRPr="3C408C71" w:rsidR="1776EB98">
              <w:rPr>
                <w:rFonts w:ascii="Calibri" w:hAnsi="Calibri" w:eastAsia="Calibri" w:cs="Calibri"/>
                <w:b w:val="0"/>
                <w:bCs w:val="0"/>
                <w:i w:val="0"/>
                <w:iCs w:val="0"/>
                <w:caps w:val="0"/>
                <w:smallCaps w:val="0"/>
                <w:noProof w:val="0"/>
                <w:color w:val="000000" w:themeColor="text1" w:themeTint="FF" w:themeShade="FF"/>
                <w:sz w:val="20"/>
                <w:szCs w:val="20"/>
                <w:lang w:val="en-US"/>
              </w:rPr>
              <w:t>ks with commu</w:t>
            </w:r>
            <w:r w:rsidRPr="3C408C71" w:rsidR="1776EB98">
              <w:rPr>
                <w:rFonts w:ascii="Calibri" w:hAnsi="Calibri" w:eastAsia="Calibri" w:cs="Calibri"/>
                <w:b w:val="0"/>
                <w:bCs w:val="0"/>
                <w:i w:val="0"/>
                <w:iCs w:val="0"/>
                <w:caps w:val="0"/>
                <w:smallCaps w:val="0"/>
                <w:noProof w:val="0"/>
                <w:color w:val="000000" w:themeColor="text1" w:themeTint="FF" w:themeShade="FF"/>
                <w:sz w:val="20"/>
                <w:szCs w:val="20"/>
                <w:lang w:val="en-US"/>
              </w:rPr>
              <w:t>nity</w:t>
            </w:r>
            <w:r w:rsidRPr="3C408C71" w:rsidR="1776EB98">
              <w:rPr>
                <w:rFonts w:ascii="Calibri" w:hAnsi="Calibri" w:eastAsia="Calibri" w:cs="Calibri"/>
                <w:b w:val="0"/>
                <w:bCs w:val="0"/>
                <w:i w:val="0"/>
                <w:iCs w:val="0"/>
                <w:caps w:val="0"/>
                <w:smallCaps w:val="0"/>
                <w:noProof w:val="0"/>
                <w:color w:val="000000" w:themeColor="text1" w:themeTint="FF" w:themeShade="FF"/>
                <w:sz w:val="20"/>
                <w:szCs w:val="20"/>
                <w:lang w:val="en-US"/>
              </w:rPr>
              <w:t xml:space="preserve"> business</w:t>
            </w:r>
            <w:r w:rsidRPr="3C408C71" w:rsidR="1776EB98">
              <w:rPr>
                <w:rFonts w:ascii="Calibri" w:hAnsi="Calibri" w:eastAsia="Calibri" w:cs="Calibri"/>
                <w:b w:val="0"/>
                <w:bCs w:val="0"/>
                <w:i w:val="0"/>
                <w:iCs w:val="0"/>
                <w:caps w:val="0"/>
                <w:smallCaps w:val="0"/>
                <w:noProof w:val="0"/>
                <w:color w:val="000000" w:themeColor="text1" w:themeTint="FF" w:themeShade="FF"/>
                <w:sz w:val="20"/>
                <w:szCs w:val="20"/>
                <w:lang w:val="en-US"/>
              </w:rPr>
              <w:t>es, 3</w:t>
            </w:r>
            <w:r w:rsidRPr="3C408C71" w:rsidR="1776EB98">
              <w:rPr>
                <w:rFonts w:ascii="Calibri" w:hAnsi="Calibri" w:eastAsia="Calibri" w:cs="Calibri"/>
                <w:b w:val="0"/>
                <w:bCs w:val="0"/>
                <w:i w:val="0"/>
                <w:iCs w:val="0"/>
                <w:caps w:val="0"/>
                <w:smallCaps w:val="0"/>
                <w:noProof w:val="0"/>
                <w:color w:val="000000" w:themeColor="text1" w:themeTint="FF" w:themeShade="FF"/>
                <w:sz w:val="20"/>
                <w:szCs w:val="20"/>
                <w:vertAlign w:val="superscript"/>
                <w:lang w:val="en-US"/>
              </w:rPr>
              <w:t>rd</w:t>
            </w:r>
            <w:r w:rsidRPr="3C408C71" w:rsidR="1776EB98">
              <w:rPr>
                <w:rFonts w:ascii="Calibri" w:hAnsi="Calibri" w:eastAsia="Calibri" w:cs="Calibri"/>
                <w:b w:val="0"/>
                <w:bCs w:val="0"/>
                <w:i w:val="0"/>
                <w:iCs w:val="0"/>
                <w:caps w:val="0"/>
                <w:smallCaps w:val="0"/>
                <w:noProof w:val="0"/>
                <w:color w:val="000000" w:themeColor="text1" w:themeTint="FF" w:themeShade="FF"/>
                <w:sz w:val="20"/>
                <w:szCs w:val="20"/>
                <w:lang w:val="en-US"/>
              </w:rPr>
              <w:t xml:space="preserve"> sector </w:t>
            </w:r>
            <w:r w:rsidRPr="3C408C71" w:rsidR="1776EB98">
              <w:rPr>
                <w:rFonts w:ascii="Calibri" w:hAnsi="Calibri" w:eastAsia="Calibri" w:cs="Calibri"/>
                <w:b w:val="0"/>
                <w:bCs w:val="0"/>
                <w:i w:val="0"/>
                <w:iCs w:val="0"/>
                <w:caps w:val="0"/>
                <w:smallCaps w:val="0"/>
                <w:noProof w:val="0"/>
                <w:color w:val="000000" w:themeColor="text1" w:themeTint="FF" w:themeShade="FF"/>
                <w:sz w:val="20"/>
                <w:szCs w:val="20"/>
                <w:lang w:val="en-US"/>
              </w:rPr>
              <w:t>org</w:t>
            </w:r>
            <w:r w:rsidRPr="3C408C71" w:rsidR="1776EB98">
              <w:rPr>
                <w:rFonts w:ascii="Calibri" w:hAnsi="Calibri" w:eastAsia="Calibri" w:cs="Calibri"/>
                <w:b w:val="0"/>
                <w:bCs w:val="0"/>
                <w:i w:val="0"/>
                <w:iCs w:val="0"/>
                <w:caps w:val="0"/>
                <w:smallCaps w:val="0"/>
                <w:noProof w:val="0"/>
                <w:color w:val="000000" w:themeColor="text1" w:themeTint="FF" w:themeShade="FF"/>
                <w:sz w:val="20"/>
                <w:szCs w:val="20"/>
                <w:lang w:val="en-US"/>
              </w:rPr>
              <w:t>an</w:t>
            </w:r>
            <w:r w:rsidRPr="3C408C71" w:rsidR="1776EB98">
              <w:rPr>
                <w:rFonts w:ascii="Calibri" w:hAnsi="Calibri" w:eastAsia="Calibri" w:cs="Calibri"/>
                <w:b w:val="0"/>
                <w:bCs w:val="0"/>
                <w:i w:val="0"/>
                <w:iCs w:val="0"/>
                <w:caps w:val="0"/>
                <w:smallCaps w:val="0"/>
                <w:noProof w:val="0"/>
                <w:color w:val="000000" w:themeColor="text1" w:themeTint="FF" w:themeShade="FF"/>
                <w:sz w:val="20"/>
                <w:szCs w:val="20"/>
                <w:lang w:val="en-US"/>
              </w:rPr>
              <w:t>isa</w:t>
            </w:r>
            <w:r w:rsidRPr="3C408C71" w:rsidR="1776EB98">
              <w:rPr>
                <w:rFonts w:ascii="Calibri" w:hAnsi="Calibri" w:eastAsia="Calibri" w:cs="Calibri"/>
                <w:b w:val="0"/>
                <w:bCs w:val="0"/>
                <w:i w:val="0"/>
                <w:iCs w:val="0"/>
                <w:caps w:val="0"/>
                <w:smallCaps w:val="0"/>
                <w:noProof w:val="0"/>
                <w:color w:val="000000" w:themeColor="text1" w:themeTint="FF" w:themeShade="FF"/>
                <w:sz w:val="20"/>
                <w:szCs w:val="20"/>
                <w:lang w:val="en-US"/>
              </w:rPr>
              <w:t>tions</w:t>
            </w:r>
            <w:r w:rsidRPr="3C408C71" w:rsidR="1776EB98">
              <w:rPr>
                <w:rFonts w:ascii="Calibri" w:hAnsi="Calibri" w:eastAsia="Calibri" w:cs="Calibri"/>
                <w:b w:val="0"/>
                <w:bCs w:val="0"/>
                <w:i w:val="0"/>
                <w:iCs w:val="0"/>
                <w:caps w:val="0"/>
                <w:smallCaps w:val="0"/>
                <w:noProof w:val="0"/>
                <w:color w:val="000000" w:themeColor="text1" w:themeTint="FF" w:themeShade="FF"/>
                <w:sz w:val="20"/>
                <w:szCs w:val="20"/>
                <w:lang w:val="en-US"/>
              </w:rPr>
              <w:t xml:space="preserve"> and collegiate work to develop our </w:t>
            </w:r>
            <w:r w:rsidRPr="3C408C71" w:rsidR="1776EB98">
              <w:rPr>
                <w:rFonts w:ascii="Calibri" w:hAnsi="Calibri" w:eastAsia="Calibri" w:cs="Calibri"/>
                <w:b w:val="0"/>
                <w:bCs w:val="0"/>
                <w:i w:val="0"/>
                <w:iCs w:val="0"/>
                <w:caps w:val="0"/>
                <w:smallCaps w:val="0"/>
                <w:noProof w:val="0"/>
                <w:color w:val="000000" w:themeColor="text1" w:themeTint="FF" w:themeShade="FF"/>
                <w:sz w:val="20"/>
                <w:szCs w:val="20"/>
                <w:lang w:val="en-US"/>
              </w:rPr>
              <w:t>Open Ended</w:t>
            </w:r>
            <w:r w:rsidRPr="3C408C71" w:rsidR="1776EB98">
              <w:rPr>
                <w:rFonts w:ascii="Calibri" w:hAnsi="Calibri" w:eastAsia="Calibri" w:cs="Calibri"/>
                <w:b w:val="0"/>
                <w:bCs w:val="0"/>
                <w:i w:val="0"/>
                <w:iCs w:val="0"/>
                <w:caps w:val="0"/>
                <w:smallCaps w:val="0"/>
                <w:noProof w:val="0"/>
                <w:color w:val="000000" w:themeColor="text1" w:themeTint="FF" w:themeShade="FF"/>
                <w:sz w:val="20"/>
                <w:szCs w:val="20"/>
                <w:lang w:val="en-US"/>
              </w:rPr>
              <w:t xml:space="preserve"> Play provision in our school grounds. We have been part of producing a podcast with a series of 3 episodes to </w:t>
            </w:r>
            <w:r w:rsidRPr="3C408C71" w:rsidR="1776EB98">
              <w:rPr>
                <w:rFonts w:ascii="Calibri" w:hAnsi="Calibri" w:eastAsia="Calibri" w:cs="Calibri"/>
                <w:b w:val="0"/>
                <w:bCs w:val="0"/>
                <w:i w:val="0"/>
                <w:iCs w:val="0"/>
                <w:caps w:val="0"/>
                <w:smallCaps w:val="0"/>
                <w:noProof w:val="0"/>
                <w:color w:val="000000" w:themeColor="text1" w:themeTint="FF" w:themeShade="FF"/>
                <w:sz w:val="20"/>
                <w:szCs w:val="20"/>
                <w:lang w:val="en-US"/>
              </w:rPr>
              <w:t>captu</w:t>
            </w:r>
            <w:r w:rsidRPr="3C408C71" w:rsidR="1776EB98">
              <w:rPr>
                <w:rFonts w:ascii="Calibri" w:hAnsi="Calibri" w:eastAsia="Calibri" w:cs="Calibri"/>
                <w:b w:val="0"/>
                <w:bCs w:val="0"/>
                <w:i w:val="0"/>
                <w:iCs w:val="0"/>
                <w:caps w:val="0"/>
                <w:smallCaps w:val="0"/>
                <w:noProof w:val="0"/>
                <w:color w:val="000000" w:themeColor="text1" w:themeTint="FF" w:themeShade="FF"/>
                <w:sz w:val="20"/>
                <w:szCs w:val="20"/>
                <w:lang w:val="en-US"/>
              </w:rPr>
              <w:t>re the work of</w:t>
            </w:r>
            <w:r w:rsidRPr="3C408C71" w:rsidR="1776EB98">
              <w:rPr>
                <w:rFonts w:ascii="Calibri" w:hAnsi="Calibri" w:eastAsia="Calibri" w:cs="Calibri"/>
                <w:b w:val="0"/>
                <w:bCs w:val="0"/>
                <w:i w:val="0"/>
                <w:iCs w:val="0"/>
                <w:caps w:val="0"/>
                <w:smallCaps w:val="0"/>
                <w:noProof w:val="0"/>
                <w:color w:val="000000" w:themeColor="text1" w:themeTint="FF" w:themeShade="FF"/>
                <w:sz w:val="20"/>
                <w:szCs w:val="20"/>
                <w:lang w:val="en-US"/>
              </w:rPr>
              <w:t xml:space="preserve"> all c</w:t>
            </w:r>
            <w:r w:rsidRPr="3C408C71" w:rsidR="1776EB98">
              <w:rPr>
                <w:rFonts w:ascii="Calibri" w:hAnsi="Calibri" w:eastAsia="Calibri" w:cs="Calibri"/>
                <w:b w:val="0"/>
                <w:bCs w:val="0"/>
                <w:i w:val="0"/>
                <w:iCs w:val="0"/>
                <w:caps w:val="0"/>
                <w:smallCaps w:val="0"/>
                <w:noProof w:val="0"/>
                <w:color w:val="000000" w:themeColor="text1" w:themeTint="FF" w:themeShade="FF"/>
                <w:sz w:val="20"/>
                <w:szCs w:val="20"/>
                <w:lang w:val="en-US"/>
              </w:rPr>
              <w:t>haritie</w:t>
            </w:r>
            <w:r w:rsidRPr="3C408C71" w:rsidR="1776EB98">
              <w:rPr>
                <w:rFonts w:ascii="Calibri" w:hAnsi="Calibri" w:eastAsia="Calibri" w:cs="Calibri"/>
                <w:b w:val="0"/>
                <w:bCs w:val="0"/>
                <w:i w:val="0"/>
                <w:iCs w:val="0"/>
                <w:caps w:val="0"/>
                <w:smallCaps w:val="0"/>
                <w:noProof w:val="0"/>
                <w:color w:val="000000" w:themeColor="text1" w:themeTint="FF" w:themeShade="FF"/>
                <w:sz w:val="20"/>
                <w:szCs w:val="20"/>
                <w:lang w:val="en-US"/>
              </w:rPr>
              <w:t>s inv</w:t>
            </w:r>
            <w:r w:rsidRPr="3C408C71" w:rsidR="1776EB98">
              <w:rPr>
                <w:rFonts w:ascii="Calibri" w:hAnsi="Calibri" w:eastAsia="Calibri" w:cs="Calibri"/>
                <w:b w:val="0"/>
                <w:bCs w:val="0"/>
                <w:i w:val="0"/>
                <w:iCs w:val="0"/>
                <w:caps w:val="0"/>
                <w:smallCaps w:val="0"/>
                <w:noProof w:val="0"/>
                <w:color w:val="000000" w:themeColor="text1" w:themeTint="FF" w:themeShade="FF"/>
                <w:sz w:val="20"/>
                <w:szCs w:val="20"/>
                <w:lang w:val="en-US"/>
              </w:rPr>
              <w:t xml:space="preserve">olved in </w:t>
            </w:r>
            <w:r w:rsidRPr="3C408C71" w:rsidR="1776EB98">
              <w:rPr>
                <w:rFonts w:ascii="Calibri" w:hAnsi="Calibri" w:eastAsia="Calibri" w:cs="Calibri"/>
                <w:b w:val="0"/>
                <w:bCs w:val="0"/>
                <w:i w:val="0"/>
                <w:iCs w:val="0"/>
                <w:caps w:val="0"/>
                <w:smallCaps w:val="0"/>
                <w:noProof w:val="0"/>
                <w:color w:val="000000" w:themeColor="text1" w:themeTint="FF" w:themeShade="FF"/>
                <w:sz w:val="20"/>
                <w:szCs w:val="20"/>
                <w:lang w:val="en-US"/>
              </w:rPr>
              <w:t>project</w:t>
            </w:r>
            <w:r w:rsidRPr="3C408C71" w:rsidR="1776EB98">
              <w:rPr>
                <w:rFonts w:ascii="Calibri" w:hAnsi="Calibri" w:eastAsia="Calibri" w:cs="Calibri"/>
                <w:b w:val="0"/>
                <w:bCs w:val="0"/>
                <w:i w:val="0"/>
                <w:iCs w:val="0"/>
                <w:caps w:val="0"/>
                <w:smallCaps w:val="0"/>
                <w:noProof w:val="0"/>
                <w:color w:val="000000" w:themeColor="text1" w:themeTint="FF" w:themeShade="FF"/>
                <w:sz w:val="20"/>
                <w:szCs w:val="20"/>
                <w:lang w:val="en-US"/>
              </w:rPr>
              <w:t>. Our D</w:t>
            </w:r>
            <w:r w:rsidRPr="3C408C71" w:rsidR="4A97B53E">
              <w:rPr>
                <w:rFonts w:ascii="Calibri" w:hAnsi="Calibri" w:eastAsia="Calibri" w:cs="Calibri"/>
                <w:b w:val="0"/>
                <w:bCs w:val="0"/>
                <w:i w:val="0"/>
                <w:iCs w:val="0"/>
                <w:caps w:val="0"/>
                <w:smallCaps w:val="0"/>
                <w:noProof w:val="0"/>
                <w:color w:val="000000" w:themeColor="text1" w:themeTint="FF" w:themeShade="FF"/>
                <w:sz w:val="20"/>
                <w:szCs w:val="20"/>
                <w:lang w:val="en-US"/>
              </w:rPr>
              <w:t xml:space="preserve">epute </w:t>
            </w:r>
            <w:r w:rsidRPr="3C408C71" w:rsidR="1776EB98">
              <w:rPr>
                <w:rFonts w:ascii="Calibri" w:hAnsi="Calibri" w:eastAsia="Calibri" w:cs="Calibri"/>
                <w:b w:val="0"/>
                <w:bCs w:val="0"/>
                <w:i w:val="0"/>
                <w:iCs w:val="0"/>
                <w:caps w:val="0"/>
                <w:smallCaps w:val="0"/>
                <w:noProof w:val="0"/>
                <w:color w:val="000000" w:themeColor="text1" w:themeTint="FF" w:themeShade="FF"/>
                <w:sz w:val="20"/>
                <w:szCs w:val="20"/>
                <w:lang w:val="en-US"/>
              </w:rPr>
              <w:t>H</w:t>
            </w:r>
            <w:r w:rsidRPr="3C408C71" w:rsidR="2A380BB8">
              <w:rPr>
                <w:rFonts w:ascii="Calibri" w:hAnsi="Calibri" w:eastAsia="Calibri" w:cs="Calibri"/>
                <w:b w:val="0"/>
                <w:bCs w:val="0"/>
                <w:i w:val="0"/>
                <w:iCs w:val="0"/>
                <w:caps w:val="0"/>
                <w:smallCaps w:val="0"/>
                <w:noProof w:val="0"/>
                <w:color w:val="000000" w:themeColor="text1" w:themeTint="FF" w:themeShade="FF"/>
                <w:sz w:val="20"/>
                <w:szCs w:val="20"/>
                <w:lang w:val="en-US"/>
              </w:rPr>
              <w:t>ead Teacher</w:t>
            </w:r>
            <w:r w:rsidRPr="3C408C71" w:rsidR="1776EB98">
              <w:rPr>
                <w:rFonts w:ascii="Calibri" w:hAnsi="Calibri" w:eastAsia="Calibri" w:cs="Calibri"/>
                <w:b w:val="0"/>
                <w:bCs w:val="0"/>
                <w:i w:val="0"/>
                <w:iCs w:val="0"/>
                <w:caps w:val="0"/>
                <w:smallCaps w:val="0"/>
                <w:noProof w:val="0"/>
                <w:color w:val="000000" w:themeColor="text1" w:themeTint="FF" w:themeShade="FF"/>
                <w:sz w:val="20"/>
                <w:szCs w:val="20"/>
                <w:lang w:val="en-US"/>
              </w:rPr>
              <w:t xml:space="preserve"> presented as part of this group at the International Play Conference which</w:t>
            </w:r>
            <w:r w:rsidRPr="3C408C71" w:rsidR="1776EB98">
              <w:rPr>
                <w:rFonts w:ascii="Calibri" w:hAnsi="Calibri" w:eastAsia="Calibri" w:cs="Calibri"/>
                <w:b w:val="0"/>
                <w:bCs w:val="0"/>
                <w:i w:val="0"/>
                <w:iCs w:val="0"/>
                <w:caps w:val="0"/>
                <w:smallCaps w:val="0"/>
                <w:noProof w:val="0"/>
                <w:color w:val="000000" w:themeColor="text1" w:themeTint="FF" w:themeShade="FF"/>
                <w:sz w:val="20"/>
                <w:szCs w:val="20"/>
                <w:lang w:val="en-US"/>
              </w:rPr>
              <w:t xml:space="preserve"> w</w:t>
            </w:r>
            <w:r w:rsidRPr="3C408C71" w:rsidR="1776EB98">
              <w:rPr>
                <w:rFonts w:ascii="Calibri" w:hAnsi="Calibri" w:eastAsia="Calibri" w:cs="Calibri"/>
                <w:b w:val="0"/>
                <w:bCs w:val="0"/>
                <w:i w:val="0"/>
                <w:iCs w:val="0"/>
                <w:caps w:val="0"/>
                <w:smallCaps w:val="0"/>
                <w:noProof w:val="0"/>
                <w:color w:val="000000" w:themeColor="text1" w:themeTint="FF" w:themeShade="FF"/>
                <w:sz w:val="20"/>
                <w:szCs w:val="20"/>
                <w:lang w:val="en-US"/>
              </w:rPr>
              <w:t>as held</w:t>
            </w:r>
            <w:r w:rsidRPr="3C408C71" w:rsidR="1776EB98">
              <w:rPr>
                <w:rFonts w:ascii="Calibri" w:hAnsi="Calibri" w:eastAsia="Calibri" w:cs="Calibri"/>
                <w:b w:val="0"/>
                <w:bCs w:val="0"/>
                <w:i w:val="0"/>
                <w:iCs w:val="0"/>
                <w:caps w:val="0"/>
                <w:smallCaps w:val="0"/>
                <w:noProof w:val="0"/>
                <w:color w:val="000000" w:themeColor="text1" w:themeTint="FF" w:themeShade="FF"/>
                <w:sz w:val="20"/>
                <w:szCs w:val="20"/>
                <w:lang w:val="en-US"/>
              </w:rPr>
              <w:t xml:space="preserve"> in Gla</w:t>
            </w:r>
            <w:r w:rsidRPr="3C408C71" w:rsidR="1776EB98">
              <w:rPr>
                <w:rFonts w:ascii="Calibri" w:hAnsi="Calibri" w:eastAsia="Calibri" w:cs="Calibri"/>
                <w:b w:val="0"/>
                <w:bCs w:val="0"/>
                <w:i w:val="0"/>
                <w:iCs w:val="0"/>
                <w:caps w:val="0"/>
                <w:smallCaps w:val="0"/>
                <w:noProof w:val="0"/>
                <w:color w:val="000000" w:themeColor="text1" w:themeTint="FF" w:themeShade="FF"/>
                <w:sz w:val="20"/>
                <w:szCs w:val="20"/>
                <w:lang w:val="en-US"/>
              </w:rPr>
              <w:t>sgow this year and 2 teaching colleagu</w:t>
            </w:r>
            <w:r w:rsidRPr="3C408C71" w:rsidR="1776EB98">
              <w:rPr>
                <w:rFonts w:ascii="Calibri" w:hAnsi="Calibri" w:eastAsia="Calibri" w:cs="Calibri"/>
                <w:b w:val="0"/>
                <w:bCs w:val="0"/>
                <w:i w:val="0"/>
                <w:iCs w:val="0"/>
                <w:caps w:val="0"/>
                <w:smallCaps w:val="0"/>
                <w:noProof w:val="0"/>
                <w:color w:val="000000" w:themeColor="text1" w:themeTint="FF" w:themeShade="FF"/>
                <w:sz w:val="20"/>
                <w:szCs w:val="20"/>
                <w:lang w:val="en-US"/>
              </w:rPr>
              <w:t>es al</w:t>
            </w:r>
            <w:r w:rsidRPr="3C408C71" w:rsidR="1776EB98">
              <w:rPr>
                <w:rFonts w:ascii="Calibri" w:hAnsi="Calibri" w:eastAsia="Calibri" w:cs="Calibri"/>
                <w:b w:val="0"/>
                <w:bCs w:val="0"/>
                <w:i w:val="0"/>
                <w:iCs w:val="0"/>
                <w:caps w:val="0"/>
                <w:smallCaps w:val="0"/>
                <w:noProof w:val="0"/>
                <w:color w:val="000000" w:themeColor="text1" w:themeTint="FF" w:themeShade="FF"/>
                <w:sz w:val="20"/>
                <w:szCs w:val="20"/>
                <w:lang w:val="en-US"/>
              </w:rPr>
              <w:t>so</w:t>
            </w:r>
            <w:r w:rsidRPr="3C408C71" w:rsidR="1776EB98">
              <w:rPr>
                <w:rFonts w:ascii="Calibri" w:hAnsi="Calibri" w:eastAsia="Calibri" w:cs="Calibri"/>
                <w:b w:val="0"/>
                <w:bCs w:val="0"/>
                <w:i w:val="0"/>
                <w:iCs w:val="0"/>
                <w:caps w:val="0"/>
                <w:smallCaps w:val="0"/>
                <w:noProof w:val="0"/>
                <w:color w:val="000000" w:themeColor="text1" w:themeTint="FF" w:themeShade="FF"/>
                <w:sz w:val="20"/>
                <w:szCs w:val="20"/>
                <w:lang w:val="en-US"/>
              </w:rPr>
              <w:t xml:space="preserve"> </w:t>
            </w:r>
            <w:r w:rsidRPr="3C408C71" w:rsidR="1776EB98">
              <w:rPr>
                <w:rFonts w:ascii="Calibri" w:hAnsi="Calibri" w:eastAsia="Calibri" w:cs="Calibri"/>
                <w:b w:val="0"/>
                <w:bCs w:val="0"/>
                <w:i w:val="0"/>
                <w:iCs w:val="0"/>
                <w:caps w:val="0"/>
                <w:smallCaps w:val="0"/>
                <w:noProof w:val="0"/>
                <w:color w:val="000000" w:themeColor="text1" w:themeTint="FF" w:themeShade="FF"/>
                <w:sz w:val="20"/>
                <w:szCs w:val="20"/>
                <w:lang w:val="en-US"/>
              </w:rPr>
              <w:t>attended across</w:t>
            </w:r>
            <w:r w:rsidRPr="3C408C71" w:rsidR="1776EB98">
              <w:rPr>
                <w:rFonts w:ascii="Calibri" w:hAnsi="Calibri" w:eastAsia="Calibri" w:cs="Calibri"/>
                <w:b w:val="0"/>
                <w:bCs w:val="0"/>
                <w:i w:val="0"/>
                <w:iCs w:val="0"/>
                <w:caps w:val="0"/>
                <w:smallCaps w:val="0"/>
                <w:noProof w:val="0"/>
                <w:color w:val="000000" w:themeColor="text1" w:themeTint="FF" w:themeShade="FF"/>
                <w:sz w:val="20"/>
                <w:szCs w:val="20"/>
                <w:lang w:val="en-US"/>
              </w:rPr>
              <w:t xml:space="preserve"> the </w:t>
            </w:r>
            <w:r w:rsidRPr="3C408C71" w:rsidR="5BAD51BA">
              <w:rPr>
                <w:rFonts w:ascii="Calibri" w:hAnsi="Calibri" w:eastAsia="Calibri" w:cs="Calibri"/>
                <w:b w:val="0"/>
                <w:bCs w:val="0"/>
                <w:i w:val="0"/>
                <w:iCs w:val="0"/>
                <w:caps w:val="0"/>
                <w:smallCaps w:val="0"/>
                <w:noProof w:val="0"/>
                <w:color w:val="000000" w:themeColor="text1" w:themeTint="FF" w:themeShade="FF"/>
                <w:sz w:val="20"/>
                <w:szCs w:val="20"/>
                <w:lang w:val="en-US"/>
              </w:rPr>
              <w:t>3-day</w:t>
            </w:r>
            <w:r w:rsidRPr="3C408C71" w:rsidR="1776EB98">
              <w:rPr>
                <w:rFonts w:ascii="Calibri" w:hAnsi="Calibri" w:eastAsia="Calibri" w:cs="Calibri"/>
                <w:b w:val="0"/>
                <w:bCs w:val="0"/>
                <w:i w:val="0"/>
                <w:iCs w:val="0"/>
                <w:caps w:val="0"/>
                <w:smallCaps w:val="0"/>
                <w:noProof w:val="0"/>
                <w:color w:val="000000" w:themeColor="text1" w:themeTint="FF" w:themeShade="FF"/>
                <w:sz w:val="20"/>
                <w:szCs w:val="20"/>
                <w:lang w:val="en-US"/>
              </w:rPr>
              <w:t xml:space="preserve"> event.</w:t>
            </w:r>
            <w:r w:rsidRPr="3C408C71" w:rsidR="08D4DE09">
              <w:rPr>
                <w:rFonts w:ascii="Calibri" w:hAnsi="Calibri" w:eastAsia="Calibri" w:cs="Calibri"/>
                <w:b w:val="0"/>
                <w:bCs w:val="0"/>
                <w:i w:val="0"/>
                <w:iCs w:val="0"/>
                <w:caps w:val="0"/>
                <w:smallCaps w:val="0"/>
                <w:noProof w:val="0"/>
                <w:color w:val="000000" w:themeColor="text1" w:themeTint="FF" w:themeShade="FF"/>
                <w:sz w:val="20"/>
                <w:szCs w:val="20"/>
                <w:lang w:val="en-US"/>
              </w:rPr>
              <w:t xml:space="preserve"> </w:t>
            </w:r>
          </w:p>
          <w:p w:rsidR="3E23267D" w:rsidP="3C408C71" w:rsidRDefault="3E23267D" w14:paraId="79566923" w14:textId="7F895D92">
            <w:pPr>
              <w:spacing w:after="160" w:line="259" w:lineRule="auto"/>
              <w:rPr>
                <w:rFonts w:ascii="Calibri" w:hAnsi="Calibri" w:eastAsia="Calibri" w:cs="Calibri"/>
                <w:noProof w:val="0"/>
                <w:sz w:val="20"/>
                <w:szCs w:val="20"/>
                <w:lang w:val="en-US"/>
              </w:rPr>
            </w:pPr>
            <w:r w:rsidRPr="3C408C71" w:rsidR="3E23267D">
              <w:rPr>
                <w:rFonts w:ascii="Calibri" w:hAnsi="Calibri" w:eastAsia="Calibri" w:cs="Calibri"/>
                <w:b w:val="0"/>
                <w:bCs w:val="0"/>
                <w:i w:val="0"/>
                <w:iCs w:val="0"/>
                <w:caps w:val="0"/>
                <w:smallCaps w:val="0"/>
                <w:noProof w:val="0"/>
                <w:color w:val="000000" w:themeColor="text1" w:themeTint="FF" w:themeShade="FF"/>
                <w:sz w:val="20"/>
                <w:szCs w:val="20"/>
                <w:lang w:val="en-US"/>
              </w:rPr>
              <w:t xml:space="preserve">We wanted to ensure that our skill in offering contexts for learning was reflected in our education planning. Teachers were consulted and examples of responsive planning in settings out with our own were perused. We created a format which </w:t>
            </w:r>
            <w:r w:rsidRPr="3C408C71" w:rsidR="3E23267D">
              <w:rPr>
                <w:rFonts w:ascii="Calibri" w:hAnsi="Calibri" w:eastAsia="Calibri" w:cs="Calibri"/>
                <w:b w:val="0"/>
                <w:bCs w:val="0"/>
                <w:i w:val="0"/>
                <w:iCs w:val="0"/>
                <w:caps w:val="0"/>
                <w:smallCaps w:val="0"/>
                <w:noProof w:val="0"/>
                <w:color w:val="000000" w:themeColor="text1" w:themeTint="FF" w:themeShade="FF"/>
                <w:sz w:val="20"/>
                <w:szCs w:val="20"/>
                <w:lang w:val="en-US"/>
              </w:rPr>
              <w:t>demonstrates</w:t>
            </w:r>
            <w:r w:rsidRPr="3C408C71" w:rsidR="3E23267D">
              <w:rPr>
                <w:rFonts w:ascii="Calibri" w:hAnsi="Calibri" w:eastAsia="Calibri" w:cs="Calibri"/>
                <w:b w:val="0"/>
                <w:bCs w:val="0"/>
                <w:i w:val="0"/>
                <w:iCs w:val="0"/>
                <w:caps w:val="0"/>
                <w:smallCaps w:val="0"/>
                <w:noProof w:val="0"/>
                <w:color w:val="000000" w:themeColor="text1" w:themeTint="FF" w:themeShade="FF"/>
                <w:sz w:val="20"/>
                <w:szCs w:val="20"/>
                <w:lang w:val="en-US"/>
              </w:rPr>
              <w:t xml:space="preserve"> the context but also the holistic value of this and links to planned accreditation opportunities. Working with the digital team, this is now going to be contained on ACP which gives more access to all working with the YP to understanding their learning opportunities and targets, making supporting the </w:t>
            </w:r>
            <w:r w:rsidRPr="3C408C71" w:rsidR="3E23267D">
              <w:rPr>
                <w:rFonts w:ascii="Calibri" w:hAnsi="Calibri" w:eastAsia="Calibri" w:cs="Calibri"/>
                <w:b w:val="0"/>
                <w:bCs w:val="0"/>
                <w:i w:val="0"/>
                <w:iCs w:val="0"/>
                <w:caps w:val="0"/>
                <w:smallCaps w:val="0"/>
                <w:noProof w:val="0"/>
                <w:color w:val="000000" w:themeColor="text1" w:themeTint="FF" w:themeShade="FF"/>
                <w:sz w:val="20"/>
                <w:szCs w:val="20"/>
                <w:lang w:val="en-US"/>
              </w:rPr>
              <w:t>24hour</w:t>
            </w:r>
            <w:r w:rsidRPr="3C408C71" w:rsidR="3E23267D">
              <w:rPr>
                <w:rFonts w:ascii="Calibri" w:hAnsi="Calibri" w:eastAsia="Calibri" w:cs="Calibri"/>
                <w:b w:val="0"/>
                <w:bCs w:val="0"/>
                <w:i w:val="0"/>
                <w:iCs w:val="0"/>
                <w:caps w:val="0"/>
                <w:smallCaps w:val="0"/>
                <w:noProof w:val="0"/>
                <w:color w:val="000000" w:themeColor="text1" w:themeTint="FF" w:themeShade="FF"/>
                <w:sz w:val="20"/>
                <w:szCs w:val="20"/>
                <w:lang w:val="en-US"/>
              </w:rPr>
              <w:t xml:space="preserve"> curriculum more cohesive. As we continued to focus on meaningful learning, we also took stock of our accreditation pathway and offering. This led to this being refreshed with the needs of our current population and national discussions influencing content. A new Senior phase pathway has been developed and next year will be about embedding this and ensuring clarity of this across our team and school community</w:t>
            </w:r>
            <w:r w:rsidRPr="3C408C71" w:rsidR="3E23267D">
              <w:rPr>
                <w:rFonts w:ascii="Calibri" w:hAnsi="Calibri" w:eastAsia="Calibri" w:cs="Calibri"/>
                <w:b w:val="0"/>
                <w:bCs w:val="0"/>
                <w:i w:val="0"/>
                <w:iCs w:val="0"/>
                <w:caps w:val="0"/>
                <w:smallCaps w:val="0"/>
                <w:noProof w:val="0"/>
                <w:color w:val="000000" w:themeColor="text1" w:themeTint="FF" w:themeShade="FF"/>
                <w:sz w:val="20"/>
                <w:szCs w:val="20"/>
                <w:lang w:val="en-US"/>
              </w:rPr>
              <w:t xml:space="preserve">. </w:t>
            </w:r>
            <w:r w:rsidRPr="3C408C71" w:rsidR="3E23267D">
              <w:rPr>
                <w:rFonts w:ascii="Calibri" w:hAnsi="Calibri" w:eastAsia="Calibri" w:cs="Calibri"/>
                <w:noProof w:val="0"/>
                <w:sz w:val="20"/>
                <w:szCs w:val="20"/>
                <w:lang w:val="en-US"/>
              </w:rPr>
              <w:t xml:space="preserve"> </w:t>
            </w:r>
          </w:p>
          <w:p w:rsidR="00EF5F19" w:rsidP="3C408C71" w:rsidRDefault="00EF5F19" w14:paraId="754B3DEE" w14:textId="15360A46">
            <w:pPr>
              <w:rPr>
                <w:rFonts w:ascii="Calibri" w:hAnsi="Calibri" w:cs="Calibri" w:asciiTheme="minorAscii" w:hAnsiTheme="minorAscii" w:cstheme="minorAscii"/>
                <w:sz w:val="20"/>
                <w:szCs w:val="20"/>
              </w:rPr>
            </w:pPr>
            <w:r w:rsidRPr="3C408C71" w:rsidR="03C95BC2">
              <w:rPr>
                <w:rFonts w:ascii="Calibri" w:hAnsi="Calibri" w:cs="Calibri" w:asciiTheme="minorAscii" w:hAnsiTheme="minorAscii" w:cstheme="minorAscii"/>
                <w:sz w:val="20"/>
                <w:szCs w:val="20"/>
              </w:rPr>
              <w:t xml:space="preserve">Our Low Arousal Approach </w:t>
            </w:r>
            <w:r w:rsidRPr="3C408C71" w:rsidR="6FA3F408">
              <w:rPr>
                <w:rFonts w:ascii="Calibri" w:hAnsi="Calibri" w:cs="Calibri" w:asciiTheme="minorAscii" w:hAnsiTheme="minorAscii" w:cstheme="minorAscii"/>
                <w:sz w:val="20"/>
                <w:szCs w:val="20"/>
              </w:rPr>
              <w:t xml:space="preserve">continued to develop over the course of the year. We have looked carefully at the rhythm of the school week and year and </w:t>
            </w:r>
            <w:r w:rsidRPr="3C408C71" w:rsidR="6FA3F408">
              <w:rPr>
                <w:rFonts w:ascii="Calibri" w:hAnsi="Calibri" w:cs="Calibri" w:asciiTheme="minorAscii" w:hAnsiTheme="minorAscii" w:cstheme="minorAscii"/>
                <w:sz w:val="20"/>
                <w:szCs w:val="20"/>
              </w:rPr>
              <w:t>made adjustments to</w:t>
            </w:r>
            <w:r w:rsidRPr="3C408C71" w:rsidR="6FA3F408">
              <w:rPr>
                <w:rFonts w:ascii="Calibri" w:hAnsi="Calibri" w:cs="Calibri" w:asciiTheme="minorAscii" w:hAnsiTheme="minorAscii" w:cstheme="minorAscii"/>
                <w:sz w:val="20"/>
                <w:szCs w:val="20"/>
              </w:rPr>
              <w:t xml:space="preserve"> the curriculum offerings and ways we offer experiences</w:t>
            </w:r>
            <w:r w:rsidRPr="3C408C71" w:rsidR="40E9D35E">
              <w:rPr>
                <w:rFonts w:ascii="Calibri" w:hAnsi="Calibri" w:cs="Calibri" w:asciiTheme="minorAscii" w:hAnsiTheme="minorAscii" w:cstheme="minorAscii"/>
                <w:sz w:val="20"/>
                <w:szCs w:val="20"/>
              </w:rPr>
              <w:t xml:space="preserve"> to ensure that there is a balance between </w:t>
            </w:r>
            <w:r w:rsidRPr="3C408C71" w:rsidR="40E9D35E">
              <w:rPr>
                <w:rFonts w:ascii="Calibri" w:hAnsi="Calibri" w:cs="Calibri" w:asciiTheme="minorAscii" w:hAnsiTheme="minorAscii" w:cstheme="minorAscii"/>
                <w:sz w:val="20"/>
                <w:szCs w:val="20"/>
              </w:rPr>
              <w:t>maintaining</w:t>
            </w:r>
            <w:r w:rsidRPr="3C408C71" w:rsidR="40E9D35E">
              <w:rPr>
                <w:rFonts w:ascii="Calibri" w:hAnsi="Calibri" w:cs="Calibri" w:asciiTheme="minorAscii" w:hAnsiTheme="minorAscii" w:cstheme="minorAscii"/>
                <w:sz w:val="20"/>
                <w:szCs w:val="20"/>
              </w:rPr>
              <w:t xml:space="preserve"> our </w:t>
            </w:r>
            <w:r w:rsidRPr="3C408C71" w:rsidR="40E9D35E">
              <w:rPr>
                <w:rFonts w:ascii="Calibri" w:hAnsi="Calibri" w:cs="Calibri" w:asciiTheme="minorAscii" w:hAnsiTheme="minorAscii" w:cstheme="minorAscii"/>
                <w:sz w:val="20"/>
                <w:szCs w:val="20"/>
              </w:rPr>
              <w:t>optimal</w:t>
            </w:r>
            <w:r w:rsidRPr="3C408C71" w:rsidR="40E9D35E">
              <w:rPr>
                <w:rFonts w:ascii="Calibri" w:hAnsi="Calibri" w:cs="Calibri" w:asciiTheme="minorAscii" w:hAnsiTheme="minorAscii" w:cstheme="minorAscii"/>
                <w:sz w:val="20"/>
                <w:szCs w:val="20"/>
              </w:rPr>
              <w:t xml:space="preserve"> environment and the opportunities we offer</w:t>
            </w:r>
            <w:r w:rsidRPr="3C408C71" w:rsidR="6FA3F408">
              <w:rPr>
                <w:rFonts w:ascii="Calibri" w:hAnsi="Calibri" w:cs="Calibri" w:asciiTheme="minorAscii" w:hAnsiTheme="minorAscii" w:cstheme="minorAscii"/>
                <w:sz w:val="20"/>
                <w:szCs w:val="20"/>
              </w:rPr>
              <w:t xml:space="preserve">. Our families have </w:t>
            </w:r>
            <w:r w:rsidRPr="3C408C71" w:rsidR="6FA3F408">
              <w:rPr>
                <w:rFonts w:ascii="Calibri" w:hAnsi="Calibri" w:cs="Calibri" w:asciiTheme="minorAscii" w:hAnsiTheme="minorAscii" w:cstheme="minorAscii"/>
                <w:sz w:val="20"/>
                <w:szCs w:val="20"/>
              </w:rPr>
              <w:t xml:space="preserve">supported us to consider how we mark </w:t>
            </w:r>
            <w:r w:rsidRPr="3C408C71" w:rsidR="6FA3F408">
              <w:rPr>
                <w:rFonts w:ascii="Calibri" w:hAnsi="Calibri" w:cs="Calibri" w:asciiTheme="minorAscii" w:hAnsiTheme="minorAscii" w:cstheme="minorAscii"/>
                <w:sz w:val="20"/>
                <w:szCs w:val="20"/>
              </w:rPr>
              <w:t>significant events</w:t>
            </w:r>
            <w:r w:rsidRPr="3C408C71" w:rsidR="6FA3F408">
              <w:rPr>
                <w:rFonts w:ascii="Calibri" w:hAnsi="Calibri" w:cs="Calibri" w:asciiTheme="minorAscii" w:hAnsiTheme="minorAscii" w:cstheme="minorAscii"/>
                <w:sz w:val="20"/>
                <w:szCs w:val="20"/>
              </w:rPr>
              <w:t xml:space="preserve"> such as graduations and our residential trips in the best wa</w:t>
            </w:r>
            <w:r w:rsidRPr="3C408C71" w:rsidR="40E9D35E">
              <w:rPr>
                <w:rFonts w:ascii="Calibri" w:hAnsi="Calibri" w:cs="Calibri" w:asciiTheme="minorAscii" w:hAnsiTheme="minorAscii" w:cstheme="minorAscii"/>
                <w:sz w:val="20"/>
                <w:szCs w:val="20"/>
              </w:rPr>
              <w:t>y for each of our young people. We have also reintroduced key experiences as our school drama show by developing a new partnership with a local theatre</w:t>
            </w:r>
            <w:r w:rsidRPr="3C408C71" w:rsidR="5A9B56F2">
              <w:rPr>
                <w:rFonts w:ascii="Calibri" w:hAnsi="Calibri" w:cs="Calibri" w:asciiTheme="minorAscii" w:hAnsiTheme="minorAscii" w:cstheme="minorAscii"/>
                <w:sz w:val="20"/>
                <w:szCs w:val="20"/>
              </w:rPr>
              <w:t xml:space="preserve"> and</w:t>
            </w:r>
            <w:r w:rsidRPr="3C408C71" w:rsidR="5A9B56F2">
              <w:rPr>
                <w:rFonts w:ascii="Calibri" w:hAnsi="Calibri" w:cs="Calibri" w:asciiTheme="minorAscii" w:hAnsiTheme="minorAscii" w:cstheme="minorAscii"/>
                <w:sz w:val="20"/>
                <w:szCs w:val="20"/>
              </w:rPr>
              <w:t xml:space="preserve"> </w:t>
            </w:r>
            <w:r w:rsidRPr="3C408C71" w:rsidR="5A9B56F2">
              <w:rPr>
                <w:rFonts w:ascii="Calibri" w:hAnsi="Calibri" w:cs="Calibri" w:asciiTheme="minorAscii" w:hAnsiTheme="minorAscii" w:cstheme="minorAscii"/>
                <w:sz w:val="20"/>
                <w:szCs w:val="20"/>
              </w:rPr>
              <w:t>f</w:t>
            </w:r>
            <w:r w:rsidRPr="3C408C71" w:rsidR="5A9B56F2">
              <w:rPr>
                <w:rFonts w:ascii="Calibri" w:hAnsi="Calibri" w:cs="Calibri" w:asciiTheme="minorAscii" w:hAnsiTheme="minorAscii" w:cstheme="minorAscii"/>
                <w:sz w:val="20"/>
                <w:szCs w:val="20"/>
              </w:rPr>
              <w:t>u</w:t>
            </w:r>
            <w:r w:rsidRPr="3C408C71" w:rsidR="5A9B56F2">
              <w:rPr>
                <w:rFonts w:ascii="Calibri" w:hAnsi="Calibri" w:cs="Calibri" w:asciiTheme="minorAscii" w:hAnsiTheme="minorAscii" w:cstheme="minorAscii"/>
                <w:sz w:val="20"/>
                <w:szCs w:val="20"/>
              </w:rPr>
              <w:t>rther therapeutic offerings such as Pony Therapy at our school</w:t>
            </w:r>
            <w:r w:rsidRPr="3C408C71" w:rsidR="5A9B56F2">
              <w:rPr>
                <w:rFonts w:ascii="Calibri" w:hAnsi="Calibri" w:cs="Calibri" w:asciiTheme="minorAscii" w:hAnsiTheme="minorAscii" w:cstheme="minorAscii"/>
                <w:sz w:val="20"/>
                <w:szCs w:val="20"/>
              </w:rPr>
              <w:t xml:space="preserve">. </w:t>
            </w:r>
            <w:r w:rsidRPr="3C408C71" w:rsidR="40E9D35E">
              <w:rPr>
                <w:rFonts w:ascii="Calibri" w:hAnsi="Calibri" w:cs="Calibri" w:asciiTheme="minorAscii" w:hAnsiTheme="minorAscii" w:cstheme="minorAscii"/>
                <w:sz w:val="20"/>
                <w:szCs w:val="20"/>
              </w:rPr>
              <w:t>We are planning to continue to work</w:t>
            </w:r>
            <w:r w:rsidRPr="3C408C71" w:rsidR="6D5209A6">
              <w:rPr>
                <w:rFonts w:ascii="Calibri" w:hAnsi="Calibri" w:cs="Calibri" w:asciiTheme="minorAscii" w:hAnsiTheme="minorAscii" w:cstheme="minorAscii"/>
                <w:sz w:val="20"/>
                <w:szCs w:val="20"/>
              </w:rPr>
              <w:t xml:space="preserve"> </w:t>
            </w:r>
            <w:r w:rsidRPr="3C408C71" w:rsidR="40E9D35E">
              <w:rPr>
                <w:rFonts w:ascii="Calibri" w:hAnsi="Calibri" w:cs="Calibri" w:asciiTheme="minorAscii" w:hAnsiTheme="minorAscii" w:cstheme="minorAscii"/>
                <w:sz w:val="20"/>
                <w:szCs w:val="20"/>
              </w:rPr>
              <w:t xml:space="preserve">in this way going forwards. </w:t>
            </w:r>
            <w:r w:rsidRPr="3C408C71" w:rsidR="69AE2124">
              <w:rPr>
                <w:rFonts w:ascii="Calibri" w:hAnsi="Calibri" w:cs="Calibri" w:asciiTheme="minorAscii" w:hAnsiTheme="minorAscii" w:cstheme="minorAscii"/>
                <w:sz w:val="20"/>
                <w:szCs w:val="20"/>
              </w:rPr>
              <w:t xml:space="preserve">We continue to see an overall rise in engagement and reduction in the number, </w:t>
            </w:r>
            <w:r w:rsidRPr="3C408C71" w:rsidR="69AE2124">
              <w:rPr>
                <w:rFonts w:ascii="Calibri" w:hAnsi="Calibri" w:cs="Calibri" w:asciiTheme="minorAscii" w:hAnsiTheme="minorAscii" w:cstheme="minorAscii"/>
                <w:sz w:val="20"/>
                <w:szCs w:val="20"/>
              </w:rPr>
              <w:t>f</w:t>
            </w:r>
            <w:r w:rsidRPr="3C408C71" w:rsidR="69AE2124">
              <w:rPr>
                <w:rFonts w:ascii="Calibri" w:hAnsi="Calibri" w:cs="Calibri" w:asciiTheme="minorAscii" w:hAnsiTheme="minorAscii" w:cstheme="minorAscii"/>
                <w:sz w:val="20"/>
                <w:szCs w:val="20"/>
              </w:rPr>
              <w:t>requency</w:t>
            </w:r>
            <w:r w:rsidRPr="3C408C71" w:rsidR="69AE2124">
              <w:rPr>
                <w:rFonts w:ascii="Calibri" w:hAnsi="Calibri" w:cs="Calibri" w:asciiTheme="minorAscii" w:hAnsiTheme="minorAscii" w:cstheme="minorAscii"/>
                <w:sz w:val="20"/>
                <w:szCs w:val="20"/>
              </w:rPr>
              <w:t xml:space="preserve"> </w:t>
            </w:r>
            <w:r w:rsidRPr="3C408C71" w:rsidR="69AE2124">
              <w:rPr>
                <w:rFonts w:ascii="Calibri" w:hAnsi="Calibri" w:cs="Calibri" w:asciiTheme="minorAscii" w:hAnsiTheme="minorAscii" w:cstheme="minorAscii"/>
                <w:sz w:val="20"/>
                <w:szCs w:val="20"/>
              </w:rPr>
              <w:t>and intensity of incidents</w:t>
            </w:r>
            <w:r w:rsidRPr="3C408C71" w:rsidR="68C76885">
              <w:rPr>
                <w:rFonts w:ascii="Calibri" w:hAnsi="Calibri" w:cs="Calibri" w:asciiTheme="minorAscii" w:hAnsiTheme="minorAscii" w:cstheme="minorAscii"/>
                <w:sz w:val="20"/>
                <w:szCs w:val="20"/>
              </w:rPr>
              <w:t xml:space="preserve">. </w:t>
            </w:r>
            <w:r w:rsidRPr="3C408C71" w:rsidR="68C76885">
              <w:rPr>
                <w:rFonts w:ascii="Calibri" w:hAnsi="Calibri" w:cs="Calibri" w:asciiTheme="minorAscii" w:hAnsiTheme="minorAscii" w:cstheme="minorAscii"/>
                <w:sz w:val="20"/>
                <w:szCs w:val="20"/>
              </w:rPr>
              <w:t xml:space="preserve">Support plans have been of a high quality this year as we </w:t>
            </w:r>
            <w:r w:rsidRPr="3C408C71" w:rsidR="577D7C46">
              <w:rPr>
                <w:rFonts w:ascii="Calibri" w:hAnsi="Calibri" w:cs="Calibri" w:asciiTheme="minorAscii" w:hAnsiTheme="minorAscii" w:cstheme="minorAscii"/>
                <w:sz w:val="20"/>
                <w:szCs w:val="20"/>
              </w:rPr>
              <w:t xml:space="preserve">adopted a key </w:t>
            </w:r>
            <w:r w:rsidRPr="3C408C71" w:rsidR="577D7C46">
              <w:rPr>
                <w:rFonts w:ascii="Calibri" w:hAnsi="Calibri" w:cs="Calibri" w:asciiTheme="minorAscii" w:hAnsiTheme="minorAscii" w:cstheme="minorAscii"/>
                <w:sz w:val="20"/>
                <w:szCs w:val="20"/>
              </w:rPr>
              <w:t>worker</w:t>
            </w:r>
            <w:r w:rsidRPr="3C408C71" w:rsidR="577D7C46">
              <w:rPr>
                <w:rFonts w:ascii="Calibri" w:hAnsi="Calibri" w:cs="Calibri" w:asciiTheme="minorAscii" w:hAnsiTheme="minorAscii" w:cstheme="minorAscii"/>
                <w:sz w:val="20"/>
                <w:szCs w:val="20"/>
              </w:rPr>
              <w:t xml:space="preserve"> approach and </w:t>
            </w:r>
            <w:r w:rsidRPr="3C408C71" w:rsidR="68C76885">
              <w:rPr>
                <w:rFonts w:ascii="Calibri" w:hAnsi="Calibri" w:cs="Calibri" w:asciiTheme="minorAscii" w:hAnsiTheme="minorAscii" w:cstheme="minorAscii"/>
                <w:sz w:val="20"/>
                <w:szCs w:val="20"/>
              </w:rPr>
              <w:t xml:space="preserve">discussed the detail of the information they should </w:t>
            </w:r>
            <w:r w:rsidRPr="3C408C71" w:rsidR="68C76885">
              <w:rPr>
                <w:rFonts w:ascii="Calibri" w:hAnsi="Calibri" w:cs="Calibri" w:asciiTheme="minorAscii" w:hAnsiTheme="minorAscii" w:cstheme="minorAscii"/>
                <w:sz w:val="20"/>
                <w:szCs w:val="20"/>
              </w:rPr>
              <w:t>contain</w:t>
            </w:r>
            <w:r w:rsidRPr="3C408C71" w:rsidR="68C76885">
              <w:rPr>
                <w:rFonts w:ascii="Calibri" w:hAnsi="Calibri" w:cs="Calibri" w:asciiTheme="minorAscii" w:hAnsiTheme="minorAscii" w:cstheme="minorAscii"/>
                <w:sz w:val="20"/>
                <w:szCs w:val="20"/>
              </w:rPr>
              <w:t xml:space="preserve"> and staff engaging in moderation and feedback sessions around these.</w:t>
            </w:r>
            <w:r w:rsidRPr="3C408C71" w:rsidR="68C76885">
              <w:rPr>
                <w:rFonts w:ascii="Calibri" w:hAnsi="Calibri" w:cs="Calibri" w:asciiTheme="minorAscii" w:hAnsiTheme="minorAscii" w:cstheme="minorAscii"/>
                <w:sz w:val="20"/>
                <w:szCs w:val="20"/>
              </w:rPr>
              <w:t xml:space="preserve"> </w:t>
            </w:r>
          </w:p>
          <w:p w:rsidRPr="005107B2" w:rsidR="00A74182" w:rsidP="56501B57" w:rsidRDefault="00954E1D" w14:paraId="2079CFC0" w14:textId="467D0740">
            <w:pPr>
              <w:rPr>
                <w:rFonts w:ascii="Calibri" w:hAnsi="Calibri" w:cs="Calibri" w:asciiTheme="minorAscii" w:hAnsiTheme="minorAscii" w:cstheme="minorAscii"/>
                <w:sz w:val="20"/>
                <w:szCs w:val="20"/>
              </w:rPr>
            </w:pPr>
            <w:r w:rsidRPr="3C408C71" w:rsidR="40E9D35E">
              <w:rPr>
                <w:rFonts w:ascii="Calibri" w:hAnsi="Calibri" w:cs="Calibri" w:asciiTheme="minorAscii" w:hAnsiTheme="minorAscii" w:cstheme="minorAscii"/>
                <w:sz w:val="20"/>
                <w:szCs w:val="20"/>
              </w:rPr>
              <w:t>Another area of foc</w:t>
            </w:r>
            <w:r w:rsidRPr="3C408C71" w:rsidR="59D49C3D">
              <w:rPr>
                <w:rFonts w:ascii="Calibri" w:hAnsi="Calibri" w:cs="Calibri" w:asciiTheme="minorAscii" w:hAnsiTheme="minorAscii" w:cstheme="minorAscii"/>
                <w:sz w:val="20"/>
                <w:szCs w:val="20"/>
              </w:rPr>
              <w:t>us this academic session</w:t>
            </w:r>
            <w:r w:rsidRPr="3C408C71" w:rsidR="40E9D35E">
              <w:rPr>
                <w:rFonts w:ascii="Calibri" w:hAnsi="Calibri" w:cs="Calibri" w:asciiTheme="minorAscii" w:hAnsiTheme="minorAscii" w:cstheme="minorAscii"/>
                <w:sz w:val="20"/>
                <w:szCs w:val="20"/>
              </w:rPr>
              <w:t xml:space="preserve"> has been on exploring some of the friction that exists between low arousal practice and </w:t>
            </w:r>
            <w:r w:rsidRPr="3C408C71" w:rsidR="40E9D35E">
              <w:rPr>
                <w:rFonts w:ascii="Calibri" w:hAnsi="Calibri" w:cs="Calibri" w:asciiTheme="minorAscii" w:hAnsiTheme="minorAscii" w:cstheme="minorAscii"/>
                <w:sz w:val="20"/>
                <w:szCs w:val="20"/>
              </w:rPr>
              <w:t>maintaining</w:t>
            </w:r>
            <w:r w:rsidRPr="3C408C71" w:rsidR="40E9D35E">
              <w:rPr>
                <w:rFonts w:ascii="Calibri" w:hAnsi="Calibri" w:cs="Calibri" w:asciiTheme="minorAscii" w:hAnsiTheme="minorAscii" w:cstheme="minorAscii"/>
                <w:sz w:val="20"/>
                <w:szCs w:val="20"/>
              </w:rPr>
              <w:t xml:space="preserve"> the pace and challenge of learning. We have used our levels of engagement scale, environmental audits, peer shadowing and incident data to </w:t>
            </w:r>
            <w:r w:rsidRPr="3C408C71" w:rsidR="59D49C3D">
              <w:rPr>
                <w:rFonts w:ascii="Calibri" w:hAnsi="Calibri" w:cs="Calibri" w:asciiTheme="minorAscii" w:hAnsiTheme="minorAscii" w:cstheme="minorAscii"/>
                <w:sz w:val="20"/>
                <w:szCs w:val="20"/>
              </w:rPr>
              <w:t xml:space="preserve">inform our planning and to create our curriculum. The team have been developing a shared understanding of the </w:t>
            </w:r>
            <w:r w:rsidRPr="3C408C71" w:rsidR="59D49C3D">
              <w:rPr>
                <w:rFonts w:ascii="Calibri" w:hAnsi="Calibri" w:cs="Calibri" w:asciiTheme="minorAscii" w:hAnsiTheme="minorAscii" w:cstheme="minorAscii"/>
                <w:sz w:val="20"/>
                <w:szCs w:val="20"/>
              </w:rPr>
              <w:t>optimal</w:t>
            </w:r>
            <w:r w:rsidRPr="3C408C71" w:rsidR="59D49C3D">
              <w:rPr>
                <w:rFonts w:ascii="Calibri" w:hAnsi="Calibri" w:cs="Calibri" w:asciiTheme="minorAscii" w:hAnsiTheme="minorAscii" w:cstheme="minorAscii"/>
                <w:sz w:val="20"/>
                <w:szCs w:val="20"/>
              </w:rPr>
              <w:t xml:space="preserve"> environment and conditions for </w:t>
            </w:r>
            <w:r w:rsidRPr="3C408C71" w:rsidR="59D49C3D">
              <w:rPr>
                <w:rFonts w:ascii="Calibri" w:hAnsi="Calibri" w:cs="Calibri" w:asciiTheme="minorAscii" w:hAnsiTheme="minorAscii" w:cstheme="minorAscii"/>
                <w:sz w:val="20"/>
                <w:szCs w:val="20"/>
              </w:rPr>
              <w:t>learning</w:t>
            </w:r>
            <w:r w:rsidRPr="3C408C71" w:rsidR="1C7BD678">
              <w:rPr>
                <w:rFonts w:ascii="Calibri" w:hAnsi="Calibri" w:cs="Calibri" w:asciiTheme="minorAscii" w:hAnsiTheme="minorAscii" w:cstheme="minorAscii"/>
                <w:sz w:val="20"/>
                <w:szCs w:val="20"/>
              </w:rPr>
              <w:t>.</w:t>
            </w:r>
            <w:r w:rsidRPr="3C408C71" w:rsidR="535E9274">
              <w:rPr>
                <w:rFonts w:ascii="Calibri" w:hAnsi="Calibri" w:cs="Calibri" w:asciiTheme="minorAscii" w:hAnsiTheme="minorAscii" w:cstheme="minorAscii"/>
                <w:sz w:val="20"/>
                <w:szCs w:val="20"/>
              </w:rPr>
              <w:t xml:space="preserve"> </w:t>
            </w:r>
            <w:r w:rsidRPr="3C408C71" w:rsidR="535E9274">
              <w:rPr>
                <w:rFonts w:ascii="Calibri" w:hAnsi="Calibri" w:cs="Calibri" w:asciiTheme="minorAscii" w:hAnsiTheme="minorAscii" w:cstheme="minorAscii"/>
                <w:sz w:val="20"/>
                <w:szCs w:val="20"/>
              </w:rPr>
              <w:t xml:space="preserve">Some of this has been supported by embracing more of a Slow Pedagogical approach </w:t>
            </w:r>
            <w:r w:rsidRPr="3C408C71" w:rsidR="4EBA60F7">
              <w:rPr>
                <w:rFonts w:ascii="Calibri" w:hAnsi="Calibri" w:cs="Calibri" w:asciiTheme="minorAscii" w:hAnsiTheme="minorAscii" w:cstheme="minorAscii"/>
                <w:sz w:val="20"/>
                <w:szCs w:val="20"/>
              </w:rPr>
              <w:t xml:space="preserve">and developing staff’s understanding of the </w:t>
            </w:r>
            <w:r w:rsidRPr="3C408C71" w:rsidR="37369494">
              <w:rPr>
                <w:rFonts w:ascii="Calibri" w:hAnsi="Calibri" w:cs="Calibri" w:asciiTheme="minorAscii" w:hAnsiTheme="minorAscii" w:cstheme="minorAscii"/>
                <w:sz w:val="20"/>
                <w:szCs w:val="20"/>
              </w:rPr>
              <w:t>value this can bring to deepening learning and attuning well with pupil developmental needs.</w:t>
            </w:r>
            <w:r w:rsidRPr="3C408C71" w:rsidR="37369494">
              <w:rPr>
                <w:rFonts w:ascii="Calibri" w:hAnsi="Calibri" w:cs="Calibri" w:asciiTheme="minorAscii" w:hAnsiTheme="minorAscii" w:cstheme="minorAscii"/>
                <w:sz w:val="20"/>
                <w:szCs w:val="20"/>
              </w:rPr>
              <w:t xml:space="preserve"> </w:t>
            </w:r>
          </w:p>
          <w:p w:rsidRPr="005107B2" w:rsidR="00A74182" w:rsidP="56501B57" w:rsidRDefault="00954E1D" w14:paraId="4ED445E0" w14:textId="5A70482A">
            <w:pPr>
              <w:pStyle w:val="Normal"/>
              <w:rPr>
                <w:rFonts w:ascii="Calibri" w:hAnsi="Calibri" w:cs="Calibri" w:asciiTheme="minorAscii" w:hAnsiTheme="minorAscii" w:cstheme="minorAscii"/>
                <w:sz w:val="20"/>
                <w:szCs w:val="20"/>
              </w:rPr>
            </w:pPr>
            <w:r w:rsidRPr="56501B57" w:rsidR="544F0043">
              <w:rPr>
                <w:rFonts w:ascii="Calibri" w:hAnsi="Calibri" w:cs="Calibri" w:asciiTheme="minorAscii" w:hAnsiTheme="minorAscii" w:cstheme="minorAscii"/>
                <w:sz w:val="20"/>
                <w:szCs w:val="20"/>
              </w:rPr>
              <w:t xml:space="preserve">As part of our ongoing commitment to </w:t>
            </w:r>
            <w:r w:rsidRPr="56501B57" w:rsidR="72EFF7C3">
              <w:rPr>
                <w:rFonts w:ascii="Calibri" w:hAnsi="Calibri" w:cs="Calibri" w:asciiTheme="minorAscii" w:hAnsiTheme="minorAscii" w:cstheme="minorAscii"/>
                <w:sz w:val="20"/>
                <w:szCs w:val="20"/>
              </w:rPr>
              <w:t>supporting and championing our young people’s views and rights we have taken part in</w:t>
            </w:r>
            <w:r w:rsidRPr="56501B57" w:rsidR="1A874A9A">
              <w:rPr>
                <w:rFonts w:ascii="Calibri" w:hAnsi="Calibri" w:cs="Calibri" w:asciiTheme="minorAscii" w:hAnsiTheme="minorAscii" w:cstheme="minorAscii"/>
                <w:sz w:val="20"/>
                <w:szCs w:val="20"/>
              </w:rPr>
              <w:t xml:space="preserve"> several consultations from Scottish Government</w:t>
            </w:r>
            <w:r w:rsidRPr="56501B57" w:rsidR="0DABD701">
              <w:rPr>
                <w:rFonts w:ascii="Calibri" w:hAnsi="Calibri" w:cs="Calibri" w:asciiTheme="minorAscii" w:hAnsiTheme="minorAscii" w:cstheme="minorAscii"/>
                <w:sz w:val="20"/>
                <w:szCs w:val="20"/>
              </w:rPr>
              <w:t xml:space="preserve"> </w:t>
            </w:r>
            <w:r w:rsidRPr="56501B57" w:rsidR="1A874A9A">
              <w:rPr>
                <w:rFonts w:ascii="Calibri" w:hAnsi="Calibri" w:cs="Calibri" w:asciiTheme="minorAscii" w:hAnsiTheme="minorAscii" w:cstheme="minorAscii"/>
                <w:sz w:val="20"/>
                <w:szCs w:val="20"/>
              </w:rPr>
              <w:t>in</w:t>
            </w:r>
            <w:r w:rsidRPr="56501B57" w:rsidR="18C90990">
              <w:rPr>
                <w:rFonts w:ascii="Calibri" w:hAnsi="Calibri" w:cs="Calibri" w:asciiTheme="minorAscii" w:hAnsiTheme="minorAscii" w:cstheme="minorAscii"/>
                <w:sz w:val="20"/>
                <w:szCs w:val="20"/>
              </w:rPr>
              <w:t xml:space="preserve">cluding </w:t>
            </w:r>
            <w:r w:rsidRPr="56501B57" w:rsidR="72EFF7C3">
              <w:rPr>
                <w:rFonts w:ascii="Calibri" w:hAnsi="Calibri" w:cs="Calibri" w:asciiTheme="minorAscii" w:hAnsiTheme="minorAscii" w:cstheme="minorAscii"/>
                <w:sz w:val="20"/>
                <w:szCs w:val="20"/>
              </w:rPr>
              <w:t>the</w:t>
            </w:r>
            <w:r w:rsidRPr="56501B57" w:rsidR="72EFF7C3">
              <w:rPr>
                <w:rFonts w:ascii="Calibri" w:hAnsi="Calibri" w:cs="Calibri" w:asciiTheme="minorAscii" w:hAnsiTheme="minorAscii" w:cstheme="minorAscii"/>
                <w:sz w:val="20"/>
                <w:szCs w:val="20"/>
              </w:rPr>
              <w:t xml:space="preserve"> </w:t>
            </w:r>
            <w:r w:rsidRPr="56501B57" w:rsidR="5F0E940D">
              <w:rPr>
                <w:rFonts w:ascii="Calibri" w:hAnsi="Calibri" w:cs="Calibri" w:asciiTheme="minorAscii" w:hAnsiTheme="minorAscii" w:cstheme="minorAscii"/>
                <w:sz w:val="20"/>
                <w:szCs w:val="20"/>
              </w:rPr>
              <w:t>‘Let’s Talk About Educati</w:t>
            </w:r>
            <w:r w:rsidRPr="56501B57" w:rsidR="72EFF7C3">
              <w:rPr>
                <w:rFonts w:ascii="Calibri" w:hAnsi="Calibri" w:cs="Calibri" w:asciiTheme="minorAscii" w:hAnsiTheme="minorAscii" w:cstheme="minorAscii"/>
                <w:sz w:val="20"/>
                <w:szCs w:val="20"/>
              </w:rPr>
              <w:t>on</w:t>
            </w:r>
            <w:r w:rsidRPr="56501B57" w:rsidR="34BC424A">
              <w:rPr>
                <w:rFonts w:ascii="Calibri" w:hAnsi="Calibri" w:cs="Calibri" w:asciiTheme="minorAscii" w:hAnsiTheme="minorAscii" w:cstheme="minorAscii"/>
                <w:sz w:val="20"/>
                <w:szCs w:val="20"/>
              </w:rPr>
              <w:t>’</w:t>
            </w:r>
            <w:r w:rsidRPr="56501B57" w:rsidR="72EFF7C3">
              <w:rPr>
                <w:rFonts w:ascii="Calibri" w:hAnsi="Calibri" w:cs="Calibri" w:asciiTheme="minorAscii" w:hAnsiTheme="minorAscii" w:cstheme="minorAscii"/>
                <w:sz w:val="20"/>
                <w:szCs w:val="20"/>
              </w:rPr>
              <w:t xml:space="preserve"> </w:t>
            </w:r>
            <w:r w:rsidRPr="56501B57" w:rsidR="41C5EA03">
              <w:rPr>
                <w:rFonts w:ascii="Calibri" w:hAnsi="Calibri" w:cs="Calibri" w:asciiTheme="minorAscii" w:hAnsiTheme="minorAscii" w:cstheme="minorAscii"/>
                <w:sz w:val="20"/>
                <w:szCs w:val="20"/>
              </w:rPr>
              <w:t>programme</w:t>
            </w:r>
            <w:r w:rsidRPr="56501B57" w:rsidR="72EFF7C3">
              <w:rPr>
                <w:rFonts w:ascii="Calibri" w:hAnsi="Calibri" w:cs="Calibri" w:asciiTheme="minorAscii" w:hAnsiTheme="minorAscii" w:cstheme="minorAscii"/>
                <w:sz w:val="20"/>
                <w:szCs w:val="20"/>
              </w:rPr>
              <w:t>. Our young people met with a team of independent res</w:t>
            </w:r>
            <w:r w:rsidRPr="56501B57" w:rsidR="041A22C6">
              <w:rPr>
                <w:rFonts w:ascii="Calibri" w:hAnsi="Calibri" w:cs="Calibri" w:asciiTheme="minorAscii" w:hAnsiTheme="minorAscii" w:cstheme="minorAscii"/>
                <w:sz w:val="20"/>
                <w:szCs w:val="20"/>
              </w:rPr>
              <w:t xml:space="preserve">earchers </w:t>
            </w:r>
            <w:r w:rsidRPr="56501B57" w:rsidR="43CD71E0">
              <w:rPr>
                <w:rFonts w:ascii="Calibri" w:hAnsi="Calibri" w:cs="Calibri" w:asciiTheme="minorAscii" w:hAnsiTheme="minorAscii" w:cstheme="minorAscii"/>
                <w:sz w:val="20"/>
                <w:szCs w:val="20"/>
              </w:rPr>
              <w:t>to gather their views. The researchers also met with groups of staff. As a whole school we also prepared a response to the National Discussion consultation</w:t>
            </w:r>
            <w:r w:rsidRPr="56501B57" w:rsidR="71482C0F">
              <w:rPr>
                <w:rFonts w:ascii="Calibri" w:hAnsi="Calibri" w:cs="Calibri" w:asciiTheme="minorAscii" w:hAnsiTheme="minorAscii" w:cstheme="minorAscii"/>
                <w:sz w:val="20"/>
                <w:szCs w:val="20"/>
              </w:rPr>
              <w:t>. Additionally, we have welcomed MSPs from across the parties to our school and shared w</w:t>
            </w:r>
            <w:r w:rsidRPr="56501B57" w:rsidR="7A56BEF6">
              <w:rPr>
                <w:rFonts w:ascii="Calibri" w:hAnsi="Calibri" w:cs="Calibri" w:asciiTheme="minorAscii" w:hAnsiTheme="minorAscii" w:cstheme="minorAscii"/>
                <w:sz w:val="20"/>
                <w:szCs w:val="20"/>
              </w:rPr>
              <w:t xml:space="preserve">ith them the value of specialist schools. We have also used these opportunities to </w:t>
            </w:r>
            <w:r w:rsidRPr="56501B57" w:rsidR="5BE26568">
              <w:rPr>
                <w:rFonts w:ascii="Calibri" w:hAnsi="Calibri" w:cs="Calibri" w:asciiTheme="minorAscii" w:hAnsiTheme="minorAscii" w:cstheme="minorAscii"/>
                <w:sz w:val="20"/>
                <w:szCs w:val="20"/>
              </w:rPr>
              <w:t>highlight</w:t>
            </w:r>
            <w:r w:rsidRPr="56501B57" w:rsidR="7A56BEF6">
              <w:rPr>
                <w:rFonts w:ascii="Calibri" w:hAnsi="Calibri" w:cs="Calibri" w:asciiTheme="minorAscii" w:hAnsiTheme="minorAscii" w:cstheme="minorAscii"/>
                <w:sz w:val="20"/>
                <w:szCs w:val="20"/>
              </w:rPr>
              <w:t xml:space="preserve"> the challenges our young people face </w:t>
            </w:r>
            <w:r w:rsidRPr="56501B57" w:rsidR="2CB2A982">
              <w:rPr>
                <w:rFonts w:ascii="Calibri" w:hAnsi="Calibri" w:cs="Calibri" w:asciiTheme="minorAscii" w:hAnsiTheme="minorAscii" w:cstheme="minorAscii"/>
                <w:sz w:val="20"/>
                <w:szCs w:val="20"/>
              </w:rPr>
              <w:t>particularly</w:t>
            </w:r>
            <w:r w:rsidRPr="56501B57" w:rsidR="7A56BEF6">
              <w:rPr>
                <w:rFonts w:ascii="Calibri" w:hAnsi="Calibri" w:cs="Calibri" w:asciiTheme="minorAscii" w:hAnsiTheme="minorAscii" w:cstheme="minorAscii"/>
                <w:sz w:val="20"/>
                <w:szCs w:val="20"/>
              </w:rPr>
              <w:t xml:space="preserve"> with </w:t>
            </w:r>
            <w:r w:rsidRPr="56501B57" w:rsidR="001703B2">
              <w:rPr>
                <w:rFonts w:ascii="Calibri" w:hAnsi="Calibri" w:cs="Calibri" w:asciiTheme="minorAscii" w:hAnsiTheme="minorAscii" w:cstheme="minorAscii"/>
                <w:sz w:val="20"/>
                <w:szCs w:val="20"/>
              </w:rPr>
              <w:t>equitable</w:t>
            </w:r>
            <w:r w:rsidRPr="56501B57" w:rsidR="001703B2">
              <w:rPr>
                <w:rFonts w:ascii="Calibri" w:hAnsi="Calibri" w:cs="Calibri" w:asciiTheme="minorAscii" w:hAnsiTheme="minorAscii" w:cstheme="minorAscii"/>
                <w:sz w:val="20"/>
                <w:szCs w:val="20"/>
              </w:rPr>
              <w:t xml:space="preserve"> access to </w:t>
            </w:r>
            <w:r w:rsidRPr="56501B57" w:rsidR="054C1812">
              <w:rPr>
                <w:rFonts w:ascii="Calibri" w:hAnsi="Calibri" w:cs="Calibri" w:asciiTheme="minorAscii" w:hAnsiTheme="minorAscii" w:cstheme="minorAscii"/>
                <w:sz w:val="20"/>
                <w:szCs w:val="20"/>
              </w:rPr>
              <w:t xml:space="preserve">post school options and the lack of adult services. </w:t>
            </w:r>
            <w:r w:rsidRPr="56501B57" w:rsidR="5FB81F46">
              <w:rPr>
                <w:rFonts w:ascii="Calibri" w:hAnsi="Calibri" w:cs="Calibri" w:asciiTheme="minorAscii" w:hAnsiTheme="minorAscii" w:cstheme="minorAscii"/>
                <w:sz w:val="20"/>
                <w:szCs w:val="20"/>
              </w:rPr>
              <w:t xml:space="preserve">Our Headteacher </w:t>
            </w:r>
            <w:r w:rsidRPr="56501B57" w:rsidR="74B95224">
              <w:rPr>
                <w:rFonts w:ascii="Calibri" w:hAnsi="Calibri" w:cs="Calibri" w:asciiTheme="minorAscii" w:hAnsiTheme="minorAscii" w:cstheme="minorAscii"/>
                <w:sz w:val="20"/>
                <w:szCs w:val="20"/>
              </w:rPr>
              <w:t>gave evidence at the Children and Young People’s Committee in Parliament about the</w:t>
            </w:r>
            <w:r w:rsidRPr="56501B57" w:rsidR="50D15CFE">
              <w:rPr>
                <w:rFonts w:ascii="Calibri" w:hAnsi="Calibri" w:cs="Calibri" w:asciiTheme="minorAscii" w:hAnsiTheme="minorAscii" w:cstheme="minorAscii"/>
                <w:sz w:val="20"/>
                <w:szCs w:val="20"/>
              </w:rPr>
              <w:t xml:space="preserve"> </w:t>
            </w:r>
            <w:r w:rsidRPr="56501B57" w:rsidR="67A68E81">
              <w:rPr>
                <w:rFonts w:ascii="Calibri" w:hAnsi="Calibri" w:cs="Calibri" w:asciiTheme="minorAscii" w:hAnsiTheme="minorAscii" w:cstheme="minorAscii"/>
                <w:sz w:val="20"/>
                <w:szCs w:val="20"/>
              </w:rPr>
              <w:t>significant</w:t>
            </w:r>
            <w:r w:rsidRPr="56501B57" w:rsidR="74B95224">
              <w:rPr>
                <w:rFonts w:ascii="Calibri" w:hAnsi="Calibri" w:cs="Calibri" w:asciiTheme="minorAscii" w:hAnsiTheme="minorAscii" w:cstheme="minorAscii"/>
                <w:sz w:val="20"/>
                <w:szCs w:val="20"/>
              </w:rPr>
              <w:t xml:space="preserve"> i</w:t>
            </w:r>
            <w:r w:rsidRPr="56501B57" w:rsidR="122C77CD">
              <w:rPr>
                <w:rFonts w:ascii="Calibri" w:hAnsi="Calibri" w:cs="Calibri" w:asciiTheme="minorAscii" w:hAnsiTheme="minorAscii" w:cstheme="minorAscii"/>
                <w:sz w:val="20"/>
                <w:szCs w:val="20"/>
              </w:rPr>
              <w:t xml:space="preserve">mpact that the current situation with transitions to adulthood and lack of services has on our pupils and their families. </w:t>
            </w:r>
          </w:p>
          <w:p w:rsidRPr="005107B2" w:rsidR="00A74182" w:rsidP="56501B57" w:rsidRDefault="00954E1D" w14:paraId="0ABEBCEB" w14:textId="695AF661">
            <w:pPr>
              <w:pStyle w:val="Normal"/>
              <w:rPr>
                <w:rFonts w:ascii="Calibri" w:hAnsi="Calibri" w:cs="Calibri" w:asciiTheme="minorAscii" w:hAnsiTheme="minorAscii" w:cstheme="minorAscii"/>
                <w:sz w:val="20"/>
                <w:szCs w:val="20"/>
              </w:rPr>
            </w:pPr>
          </w:p>
        </w:tc>
      </w:tr>
      <w:tr w:rsidRPr="00982061" w:rsidR="004528EE" w:rsidTr="35831371" w14:paraId="7881BDF3" w14:textId="77777777">
        <w:trPr>
          <w:trHeight w:val="165"/>
        </w:trPr>
        <w:tc>
          <w:tcPr>
            <w:tcW w:w="15304" w:type="dxa"/>
            <w:tcMar/>
          </w:tcPr>
          <w:p w:rsidR="004528EE" w:rsidP="00D12CA2" w:rsidRDefault="004528EE" w14:paraId="41170E9E" w14:textId="2D4A9417">
            <w:pPr>
              <w:rPr>
                <w:rFonts w:ascii="Arial" w:hAnsi="Arial"/>
                <w:b/>
                <w:szCs w:val="24"/>
              </w:rPr>
            </w:pPr>
            <w:r>
              <w:rPr>
                <w:rFonts w:ascii="Arial" w:hAnsi="Arial"/>
                <w:b/>
                <w:szCs w:val="24"/>
              </w:rPr>
              <w:lastRenderedPageBreak/>
              <w:t>Challenges and emerging priorities</w:t>
            </w:r>
          </w:p>
          <w:p w:rsidRPr="00815419" w:rsidR="00850557" w:rsidP="4FC65E02" w:rsidRDefault="00850557" w14:paraId="2D881BDE" w14:textId="496A828E">
            <w:pPr>
              <w:rPr>
                <w:rFonts w:ascii="Calibri" w:hAnsi="Calibri" w:eastAsia="Calibri" w:cs="Calibri" w:asciiTheme="minorAscii" w:hAnsiTheme="minorAscii" w:eastAsiaTheme="minorAscii" w:cstheme="minorAscii"/>
                <w:sz w:val="20"/>
                <w:szCs w:val="20"/>
              </w:rPr>
            </w:pPr>
            <w:r w:rsidRPr="3C408C71" w:rsidR="52F1301B">
              <w:rPr>
                <w:rFonts w:ascii="Calibri" w:hAnsi="Calibri" w:eastAsia="Calibri" w:cs="Calibri" w:asciiTheme="minorAscii" w:hAnsiTheme="minorAscii" w:eastAsiaTheme="minorAscii" w:cstheme="minorAscii"/>
                <w:sz w:val="20"/>
                <w:szCs w:val="20"/>
              </w:rPr>
              <w:t xml:space="preserve">Post school transitions </w:t>
            </w:r>
            <w:r w:rsidRPr="3C408C71" w:rsidR="0BFF0E88">
              <w:rPr>
                <w:rFonts w:ascii="Calibri" w:hAnsi="Calibri" w:eastAsia="Calibri" w:cs="Calibri" w:asciiTheme="minorAscii" w:hAnsiTheme="minorAscii" w:eastAsiaTheme="minorAscii" w:cstheme="minorAscii"/>
                <w:sz w:val="20"/>
                <w:szCs w:val="20"/>
              </w:rPr>
              <w:t xml:space="preserve">have continued to be a significant challenge for our young people and their families. This is because there is a very real lack of opportunities, </w:t>
            </w:r>
            <w:r w:rsidRPr="3C408C71" w:rsidR="0BFF0E88">
              <w:rPr>
                <w:rFonts w:ascii="Calibri" w:hAnsi="Calibri" w:eastAsia="Calibri" w:cs="Calibri" w:asciiTheme="minorAscii" w:hAnsiTheme="minorAscii" w:eastAsiaTheme="minorAscii" w:cstheme="minorAscii"/>
                <w:sz w:val="20"/>
                <w:szCs w:val="20"/>
              </w:rPr>
              <w:t>services</w:t>
            </w:r>
            <w:r w:rsidRPr="3C408C71" w:rsidR="0BFF0E88">
              <w:rPr>
                <w:rFonts w:ascii="Calibri" w:hAnsi="Calibri" w:eastAsia="Calibri" w:cs="Calibri" w:asciiTheme="minorAscii" w:hAnsiTheme="minorAscii" w:eastAsiaTheme="minorAscii" w:cstheme="minorAscii"/>
                <w:sz w:val="20"/>
                <w:szCs w:val="20"/>
              </w:rPr>
              <w:t xml:space="preserve"> and </w:t>
            </w:r>
            <w:r w:rsidRPr="3C408C71" w:rsidR="36CB31B2">
              <w:rPr>
                <w:rFonts w:ascii="Calibri" w:hAnsi="Calibri" w:eastAsia="Calibri" w:cs="Calibri" w:asciiTheme="minorAscii" w:hAnsiTheme="minorAscii" w:eastAsiaTheme="minorAscii" w:cstheme="minorAscii"/>
                <w:sz w:val="20"/>
                <w:szCs w:val="20"/>
              </w:rPr>
              <w:t>options once</w:t>
            </w:r>
            <w:r w:rsidRPr="3C408C71" w:rsidR="3BECA52B">
              <w:rPr>
                <w:rFonts w:ascii="Calibri" w:hAnsi="Calibri" w:eastAsia="Calibri" w:cs="Calibri" w:asciiTheme="minorAscii" w:hAnsiTheme="minorAscii" w:eastAsiaTheme="minorAscii" w:cstheme="minorAscii"/>
                <w:sz w:val="20"/>
                <w:szCs w:val="20"/>
              </w:rPr>
              <w:t xml:space="preserve"> our young people leave statutory education which is inequitable. A nationwide lack of adult placements and staffing crisis in social care </w:t>
            </w:r>
            <w:r w:rsidRPr="3C408C71" w:rsidR="3C0CB2E6">
              <w:rPr>
                <w:rFonts w:ascii="Calibri" w:hAnsi="Calibri" w:eastAsia="Calibri" w:cs="Calibri" w:asciiTheme="minorAscii" w:hAnsiTheme="minorAscii" w:eastAsiaTheme="minorAscii" w:cstheme="minorAscii"/>
                <w:sz w:val="20"/>
                <w:szCs w:val="20"/>
              </w:rPr>
              <w:t xml:space="preserve">are significant factors for our young people who will require scare throughout their lives. </w:t>
            </w:r>
            <w:r w:rsidRPr="3C408C71" w:rsidR="0051309C">
              <w:rPr>
                <w:rFonts w:ascii="Calibri" w:hAnsi="Calibri" w:eastAsia="Calibri" w:cs="Calibri" w:asciiTheme="minorAscii" w:hAnsiTheme="minorAscii" w:eastAsiaTheme="minorAscii" w:cstheme="minorAscii"/>
                <w:sz w:val="20"/>
                <w:szCs w:val="20"/>
              </w:rPr>
              <w:t xml:space="preserve">For one young person the lack of </w:t>
            </w:r>
            <w:r w:rsidRPr="3C408C71" w:rsidR="0051309C">
              <w:rPr>
                <w:rFonts w:ascii="Calibri" w:hAnsi="Calibri" w:eastAsia="Calibri" w:cs="Calibri" w:asciiTheme="minorAscii" w:hAnsiTheme="minorAscii" w:eastAsiaTheme="minorAscii" w:cstheme="minorAscii"/>
                <w:sz w:val="20"/>
                <w:szCs w:val="20"/>
              </w:rPr>
              <w:t>appropriate services</w:t>
            </w:r>
            <w:r w:rsidRPr="3C408C71" w:rsidR="0051309C">
              <w:rPr>
                <w:rFonts w:ascii="Calibri" w:hAnsi="Calibri" w:eastAsia="Calibri" w:cs="Calibri" w:asciiTheme="minorAscii" w:hAnsiTheme="minorAscii" w:eastAsiaTheme="minorAscii" w:cstheme="minorAscii"/>
                <w:sz w:val="20"/>
                <w:szCs w:val="20"/>
              </w:rPr>
              <w:t xml:space="preserve"> contributed to a crisis which meant his placement ended when he was admitted to hospital</w:t>
            </w:r>
            <w:r w:rsidRPr="3C408C71" w:rsidR="2A1BA482">
              <w:rPr>
                <w:rFonts w:ascii="Calibri" w:hAnsi="Calibri" w:eastAsia="Calibri" w:cs="Calibri" w:asciiTheme="minorAscii" w:hAnsiTheme="minorAscii" w:eastAsiaTheme="minorAscii" w:cstheme="minorAscii"/>
                <w:sz w:val="20"/>
                <w:szCs w:val="20"/>
              </w:rPr>
              <w:t xml:space="preserve">. Scottish Autism will continue to campaign for the rights of our young people to a proper transition as we are acutely aware of how </w:t>
            </w:r>
            <w:r w:rsidRPr="3C408C71" w:rsidR="0E164FDE">
              <w:rPr>
                <w:rFonts w:ascii="Calibri" w:hAnsi="Calibri" w:eastAsia="Calibri" w:cs="Calibri" w:asciiTheme="minorAscii" w:hAnsiTheme="minorAscii" w:eastAsiaTheme="minorAscii" w:cstheme="minorAscii"/>
                <w:sz w:val="20"/>
                <w:szCs w:val="20"/>
              </w:rPr>
              <w:t>devastating</w:t>
            </w:r>
            <w:r w:rsidRPr="3C408C71" w:rsidR="2A1BA482">
              <w:rPr>
                <w:rFonts w:ascii="Calibri" w:hAnsi="Calibri" w:eastAsia="Calibri" w:cs="Calibri" w:asciiTheme="minorAscii" w:hAnsiTheme="minorAscii" w:eastAsiaTheme="minorAscii" w:cstheme="minorAscii"/>
                <w:sz w:val="20"/>
                <w:szCs w:val="20"/>
              </w:rPr>
              <w:t xml:space="preserve"> the </w:t>
            </w:r>
            <w:r w:rsidRPr="3C408C71" w:rsidR="2A1BA482">
              <w:rPr>
                <w:rFonts w:ascii="Calibri" w:hAnsi="Calibri" w:eastAsia="Calibri" w:cs="Calibri" w:asciiTheme="minorAscii" w:hAnsiTheme="minorAscii" w:eastAsiaTheme="minorAscii" w:cstheme="minorAscii"/>
                <w:sz w:val="20"/>
                <w:szCs w:val="20"/>
              </w:rPr>
              <w:t>consequences</w:t>
            </w:r>
            <w:r w:rsidRPr="3C408C71" w:rsidR="2A1BA482">
              <w:rPr>
                <w:rFonts w:ascii="Calibri" w:hAnsi="Calibri" w:eastAsia="Calibri" w:cs="Calibri" w:asciiTheme="minorAscii" w:hAnsiTheme="minorAscii" w:eastAsiaTheme="minorAscii" w:cstheme="minorAscii"/>
                <w:sz w:val="20"/>
                <w:szCs w:val="20"/>
              </w:rPr>
              <w:t xml:space="preserve"> of the current </w:t>
            </w:r>
            <w:r w:rsidRPr="3C408C71" w:rsidR="2F3F515F">
              <w:rPr>
                <w:rFonts w:ascii="Calibri" w:hAnsi="Calibri" w:eastAsia="Calibri" w:cs="Calibri" w:asciiTheme="minorAscii" w:hAnsiTheme="minorAscii" w:eastAsiaTheme="minorAscii" w:cstheme="minorAscii"/>
                <w:sz w:val="20"/>
                <w:szCs w:val="20"/>
              </w:rPr>
              <w:t>situation is.</w:t>
            </w:r>
            <w:r w:rsidRPr="3C408C71" w:rsidR="7CF3A573">
              <w:rPr>
                <w:rFonts w:ascii="Calibri" w:hAnsi="Calibri" w:eastAsia="Calibri" w:cs="Calibri" w:asciiTheme="minorAscii" w:hAnsiTheme="minorAscii" w:eastAsiaTheme="minorAscii" w:cstheme="minorAscii"/>
                <w:sz w:val="20"/>
                <w:szCs w:val="20"/>
              </w:rPr>
              <w:t xml:space="preserve"> We also have a young adult whose placement we extended for a period of 6 months </w:t>
            </w:r>
            <w:r w:rsidRPr="3C408C71" w:rsidR="4C679305">
              <w:rPr>
                <w:rFonts w:ascii="Calibri" w:hAnsi="Calibri" w:eastAsia="Calibri" w:cs="Calibri" w:asciiTheme="minorAscii" w:hAnsiTheme="minorAscii" w:eastAsiaTheme="minorAscii" w:cstheme="minorAscii"/>
                <w:sz w:val="20"/>
                <w:szCs w:val="20"/>
              </w:rPr>
              <w:t xml:space="preserve">moving into his own home in July. Our </w:t>
            </w:r>
            <w:r w:rsidRPr="3C408C71" w:rsidR="4CA05861">
              <w:rPr>
                <w:rFonts w:ascii="Calibri" w:hAnsi="Calibri" w:eastAsia="Calibri" w:cs="Calibri" w:asciiTheme="minorAscii" w:hAnsiTheme="minorAscii" w:eastAsiaTheme="minorAscii" w:cstheme="minorAscii"/>
                <w:sz w:val="20"/>
                <w:szCs w:val="20"/>
              </w:rPr>
              <w:t xml:space="preserve">flexibility and ability to work in true partnership with local authorities has </w:t>
            </w:r>
            <w:r w:rsidRPr="3C408C71" w:rsidR="78A9F1AE">
              <w:rPr>
                <w:rFonts w:ascii="Calibri" w:hAnsi="Calibri" w:eastAsia="Calibri" w:cs="Calibri" w:asciiTheme="minorAscii" w:hAnsiTheme="minorAscii" w:eastAsiaTheme="minorAscii" w:cstheme="minorAscii"/>
                <w:sz w:val="20"/>
                <w:szCs w:val="20"/>
              </w:rPr>
              <w:t>facilitated</w:t>
            </w:r>
            <w:r w:rsidRPr="3C408C71" w:rsidR="4CA05861">
              <w:rPr>
                <w:rFonts w:ascii="Calibri" w:hAnsi="Calibri" w:eastAsia="Calibri" w:cs="Calibri" w:asciiTheme="minorAscii" w:hAnsiTheme="minorAscii" w:eastAsiaTheme="minorAscii" w:cstheme="minorAscii"/>
                <w:sz w:val="20"/>
                <w:szCs w:val="20"/>
              </w:rPr>
              <w:t xml:space="preserve"> the best </w:t>
            </w:r>
            <w:r w:rsidRPr="3C408C71" w:rsidR="2D657D48">
              <w:rPr>
                <w:rFonts w:ascii="Calibri" w:hAnsi="Calibri" w:eastAsia="Calibri" w:cs="Calibri" w:asciiTheme="minorAscii" w:hAnsiTheme="minorAscii" w:eastAsiaTheme="minorAscii" w:cstheme="minorAscii"/>
                <w:sz w:val="20"/>
                <w:szCs w:val="20"/>
              </w:rPr>
              <w:t>outcomes</w:t>
            </w:r>
            <w:r w:rsidRPr="3C408C71" w:rsidR="4CA05861">
              <w:rPr>
                <w:rFonts w:ascii="Calibri" w:hAnsi="Calibri" w:eastAsia="Calibri" w:cs="Calibri" w:asciiTheme="minorAscii" w:hAnsiTheme="minorAscii" w:eastAsiaTheme="minorAscii" w:cstheme="minorAscii"/>
                <w:sz w:val="20"/>
                <w:szCs w:val="20"/>
              </w:rPr>
              <w:t xml:space="preserve"> for this young person and allow</w:t>
            </w:r>
            <w:r w:rsidRPr="3C408C71" w:rsidR="684ABB52">
              <w:rPr>
                <w:rFonts w:ascii="Calibri" w:hAnsi="Calibri" w:eastAsia="Calibri" w:cs="Calibri" w:asciiTheme="minorAscii" w:hAnsiTheme="minorAscii" w:eastAsiaTheme="minorAscii" w:cstheme="minorAscii"/>
                <w:sz w:val="20"/>
                <w:szCs w:val="20"/>
              </w:rPr>
              <w:t>ed</w:t>
            </w:r>
            <w:r w:rsidRPr="3C408C71" w:rsidR="4CA05861">
              <w:rPr>
                <w:rFonts w:ascii="Calibri" w:hAnsi="Calibri" w:eastAsia="Calibri" w:cs="Calibri" w:asciiTheme="minorAscii" w:hAnsiTheme="minorAscii" w:eastAsiaTheme="minorAscii" w:cstheme="minorAscii"/>
                <w:sz w:val="20"/>
                <w:szCs w:val="20"/>
              </w:rPr>
              <w:t xml:space="preserve"> one move rather than two.</w:t>
            </w:r>
            <w:r w:rsidRPr="3C408C71" w:rsidR="4C679305">
              <w:rPr>
                <w:rFonts w:ascii="Calibri" w:hAnsi="Calibri" w:eastAsia="Calibri" w:cs="Calibri" w:asciiTheme="minorAscii" w:hAnsiTheme="minorAscii" w:eastAsiaTheme="minorAscii" w:cstheme="minorAscii"/>
                <w:sz w:val="20"/>
                <w:szCs w:val="20"/>
              </w:rPr>
              <w:t xml:space="preserve"> </w:t>
            </w:r>
          </w:p>
          <w:p w:rsidR="6A153A12" w:rsidP="1DEDC464" w:rsidRDefault="6A153A12" w14:paraId="76715933" w14:textId="11A3ACC2">
            <w:pPr>
              <w:pStyle w:val="Normal"/>
              <w:rPr>
                <w:rFonts w:ascii="Calibri" w:hAnsi="Calibri" w:eastAsia="Calibri" w:cs="Calibri" w:asciiTheme="minorAscii" w:hAnsiTheme="minorAscii" w:eastAsiaTheme="minorAscii" w:cstheme="minorAscii"/>
                <w:sz w:val="20"/>
                <w:szCs w:val="20"/>
              </w:rPr>
            </w:pPr>
            <w:r w:rsidRPr="5B425D30" w:rsidR="6A153A12">
              <w:rPr>
                <w:rFonts w:ascii="Calibri" w:hAnsi="Calibri" w:eastAsia="Calibri" w:cs="Calibri" w:asciiTheme="minorAscii" w:hAnsiTheme="minorAscii" w:eastAsiaTheme="minorAscii" w:cstheme="minorAscii"/>
                <w:sz w:val="20"/>
                <w:szCs w:val="20"/>
              </w:rPr>
              <w:t xml:space="preserve">We paused accepting new referrals between December and March due to the </w:t>
            </w:r>
            <w:r w:rsidRPr="5B425D30" w:rsidR="6A153A12">
              <w:rPr>
                <w:rFonts w:ascii="Calibri" w:hAnsi="Calibri" w:eastAsia="Calibri" w:cs="Calibri" w:asciiTheme="minorAscii" w:hAnsiTheme="minorAscii" w:eastAsiaTheme="minorAscii" w:cstheme="minorAscii"/>
                <w:sz w:val="20"/>
                <w:szCs w:val="20"/>
              </w:rPr>
              <w:t>very challenging</w:t>
            </w:r>
            <w:r w:rsidRPr="5B425D30" w:rsidR="6A153A12">
              <w:rPr>
                <w:rFonts w:ascii="Calibri" w:hAnsi="Calibri" w:eastAsia="Calibri" w:cs="Calibri" w:asciiTheme="minorAscii" w:hAnsiTheme="minorAscii" w:eastAsiaTheme="minorAscii" w:cstheme="minorAscii"/>
                <w:sz w:val="20"/>
                <w:szCs w:val="20"/>
              </w:rPr>
              <w:t xml:space="preserve"> situation around a young person in our residences who</w:t>
            </w:r>
            <w:r w:rsidRPr="5B425D30" w:rsidR="160A8E3A">
              <w:rPr>
                <w:rFonts w:ascii="Calibri" w:hAnsi="Calibri" w:eastAsia="Calibri" w:cs="Calibri" w:asciiTheme="minorAscii" w:hAnsiTheme="minorAscii" w:eastAsiaTheme="minorAscii" w:cstheme="minorAscii"/>
                <w:sz w:val="20"/>
                <w:szCs w:val="20"/>
              </w:rPr>
              <w:t xml:space="preserve"> was in a period of crisis. Since re-opening our referrals </w:t>
            </w:r>
            <w:r w:rsidRPr="5B425D30" w:rsidR="675F0475">
              <w:rPr>
                <w:rFonts w:ascii="Calibri" w:hAnsi="Calibri" w:eastAsia="Calibri" w:cs="Calibri" w:asciiTheme="minorAscii" w:hAnsiTheme="minorAscii" w:eastAsiaTheme="minorAscii" w:cstheme="minorAscii"/>
                <w:sz w:val="20"/>
                <w:szCs w:val="20"/>
              </w:rPr>
              <w:t>list,</w:t>
            </w:r>
            <w:r w:rsidRPr="5B425D30" w:rsidR="160A8E3A">
              <w:rPr>
                <w:rFonts w:ascii="Calibri" w:hAnsi="Calibri" w:eastAsia="Calibri" w:cs="Calibri" w:asciiTheme="minorAscii" w:hAnsiTheme="minorAscii" w:eastAsiaTheme="minorAscii" w:cstheme="minorAscii"/>
                <w:sz w:val="20"/>
                <w:szCs w:val="20"/>
              </w:rPr>
              <w:t xml:space="preserve"> we have seen a </w:t>
            </w:r>
            <w:r w:rsidRPr="5B425D30" w:rsidR="3244A648">
              <w:rPr>
                <w:rFonts w:ascii="Calibri" w:hAnsi="Calibri" w:eastAsia="Calibri" w:cs="Calibri" w:asciiTheme="minorAscii" w:hAnsiTheme="minorAscii" w:eastAsiaTheme="minorAscii" w:cstheme="minorAscii"/>
                <w:sz w:val="20"/>
                <w:szCs w:val="20"/>
              </w:rPr>
              <w:t>continuing</w:t>
            </w:r>
            <w:r w:rsidRPr="5B425D30" w:rsidR="160A8E3A">
              <w:rPr>
                <w:rFonts w:ascii="Calibri" w:hAnsi="Calibri" w:eastAsia="Calibri" w:cs="Calibri" w:asciiTheme="minorAscii" w:hAnsiTheme="minorAscii" w:eastAsiaTheme="minorAscii" w:cstheme="minorAscii"/>
                <w:sz w:val="20"/>
                <w:szCs w:val="20"/>
              </w:rPr>
              <w:t xml:space="preserve"> pattern of high numbers of referrals with </w:t>
            </w:r>
            <w:r w:rsidRPr="5B425D30" w:rsidR="22D7BB02">
              <w:rPr>
                <w:rFonts w:ascii="Calibri" w:hAnsi="Calibri" w:eastAsia="Calibri" w:cs="Calibri" w:asciiTheme="minorAscii" w:hAnsiTheme="minorAscii" w:eastAsiaTheme="minorAscii" w:cstheme="minorAscii"/>
                <w:sz w:val="20"/>
                <w:szCs w:val="20"/>
              </w:rPr>
              <w:t>70% being for residential places. We have had a further 3 referrals for young people not currently in education placements.</w:t>
            </w:r>
            <w:r w:rsidRPr="5B425D30" w:rsidR="747EA109">
              <w:rPr>
                <w:rFonts w:ascii="Calibri" w:hAnsi="Calibri" w:eastAsia="Calibri" w:cs="Calibri" w:asciiTheme="minorAscii" w:hAnsiTheme="minorAscii" w:eastAsiaTheme="minorAscii" w:cstheme="minorAscii"/>
                <w:sz w:val="20"/>
                <w:szCs w:val="20"/>
              </w:rPr>
              <w:t xml:space="preserve"> The nature of referrals </w:t>
            </w:r>
            <w:r w:rsidRPr="5B425D30" w:rsidR="747EA109">
              <w:rPr>
                <w:rFonts w:ascii="Calibri" w:hAnsi="Calibri" w:eastAsia="Calibri" w:cs="Calibri" w:asciiTheme="minorAscii" w:hAnsiTheme="minorAscii" w:eastAsiaTheme="minorAscii" w:cstheme="minorAscii"/>
                <w:sz w:val="20"/>
                <w:szCs w:val="20"/>
              </w:rPr>
              <w:t>continue</w:t>
            </w:r>
            <w:r w:rsidRPr="5B425D30" w:rsidR="747EA109">
              <w:rPr>
                <w:rFonts w:ascii="Calibri" w:hAnsi="Calibri" w:eastAsia="Calibri" w:cs="Calibri" w:asciiTheme="minorAscii" w:hAnsiTheme="minorAscii" w:eastAsiaTheme="minorAscii" w:cstheme="minorAscii"/>
                <w:sz w:val="20"/>
                <w:szCs w:val="20"/>
              </w:rPr>
              <w:t xml:space="preserve"> to be for young people with multiple education placement break downs and </w:t>
            </w:r>
            <w:r w:rsidRPr="5B425D30" w:rsidR="747EA109">
              <w:rPr>
                <w:rFonts w:ascii="Calibri" w:hAnsi="Calibri" w:eastAsia="Calibri" w:cs="Calibri" w:asciiTheme="minorAscii" w:hAnsiTheme="minorAscii" w:eastAsiaTheme="minorAscii" w:cstheme="minorAscii"/>
                <w:sz w:val="20"/>
                <w:szCs w:val="20"/>
              </w:rPr>
              <w:t>very complex</w:t>
            </w:r>
            <w:r w:rsidRPr="5B425D30" w:rsidR="747EA109">
              <w:rPr>
                <w:rFonts w:ascii="Calibri" w:hAnsi="Calibri" w:eastAsia="Calibri" w:cs="Calibri" w:asciiTheme="minorAscii" w:hAnsiTheme="minorAscii" w:eastAsiaTheme="minorAscii" w:cstheme="minorAscii"/>
                <w:sz w:val="20"/>
                <w:szCs w:val="20"/>
              </w:rPr>
              <w:t xml:space="preserve"> care and education needs</w:t>
            </w:r>
            <w:r w:rsidRPr="5B425D30" w:rsidR="5A0CCAE8">
              <w:rPr>
                <w:rFonts w:ascii="Calibri" w:hAnsi="Calibri" w:eastAsia="Calibri" w:cs="Calibri" w:asciiTheme="minorAscii" w:hAnsiTheme="minorAscii" w:eastAsiaTheme="minorAscii" w:cstheme="minorAscii"/>
                <w:sz w:val="20"/>
                <w:szCs w:val="20"/>
              </w:rPr>
              <w:t xml:space="preserve"> which means we will continue to adapt and develop our </w:t>
            </w:r>
            <w:r w:rsidRPr="5B425D30" w:rsidR="5A0CCAE8">
              <w:rPr>
                <w:rFonts w:ascii="Calibri" w:hAnsi="Calibri" w:eastAsia="Calibri" w:cs="Calibri" w:asciiTheme="minorAscii" w:hAnsiTheme="minorAscii" w:eastAsiaTheme="minorAscii" w:cstheme="minorAscii"/>
                <w:sz w:val="20"/>
                <w:szCs w:val="20"/>
              </w:rPr>
              <w:t>model</w:t>
            </w:r>
            <w:r w:rsidRPr="5B425D30" w:rsidR="5A0CCAE8">
              <w:rPr>
                <w:rFonts w:ascii="Calibri" w:hAnsi="Calibri" w:eastAsia="Calibri" w:cs="Calibri" w:asciiTheme="minorAscii" w:hAnsiTheme="minorAscii" w:eastAsiaTheme="minorAscii" w:cstheme="minorAscii"/>
                <w:sz w:val="20"/>
                <w:szCs w:val="20"/>
              </w:rPr>
              <w:t xml:space="preserve"> and practice.</w:t>
            </w:r>
          </w:p>
          <w:p w:rsidR="66E7CEEC" w:rsidP="5B425D30" w:rsidRDefault="66E7CEEC" w14:paraId="3DA3DC4B" w14:textId="5175B905">
            <w:pPr>
              <w:pStyle w:val="Normal"/>
              <w:rPr>
                <w:rFonts w:ascii="Calibri" w:hAnsi="Calibri" w:eastAsia="Calibri" w:cs="Calibri" w:asciiTheme="minorAscii" w:hAnsiTheme="minorAscii" w:eastAsiaTheme="minorAscii" w:cstheme="minorAscii"/>
                <w:sz w:val="20"/>
                <w:szCs w:val="20"/>
              </w:rPr>
            </w:pPr>
            <w:r w:rsidRPr="5B425D30" w:rsidR="66E7CEEC">
              <w:rPr>
                <w:rFonts w:ascii="Calibri" w:hAnsi="Calibri" w:eastAsia="Calibri" w:cs="Calibri" w:asciiTheme="minorAscii" w:hAnsiTheme="minorAscii" w:eastAsiaTheme="minorAscii" w:cstheme="minorAscii"/>
                <w:sz w:val="20"/>
                <w:szCs w:val="20"/>
              </w:rPr>
              <w:t xml:space="preserve">We have also had three young people who have experienced significant mental health challenges over this academic session. </w:t>
            </w:r>
            <w:r w:rsidRPr="5B425D30" w:rsidR="66E7CEEC">
              <w:rPr>
                <w:rFonts w:ascii="Calibri" w:hAnsi="Calibri" w:eastAsia="Calibri" w:cs="Calibri" w:asciiTheme="minorAscii" w:hAnsiTheme="minorAscii" w:eastAsiaTheme="minorAscii" w:cstheme="minorAscii"/>
                <w:sz w:val="20"/>
                <w:szCs w:val="20"/>
              </w:rPr>
              <w:t>In order to</w:t>
            </w:r>
            <w:r w:rsidRPr="5B425D30" w:rsidR="66E7CEEC">
              <w:rPr>
                <w:rFonts w:ascii="Calibri" w:hAnsi="Calibri" w:eastAsia="Calibri" w:cs="Calibri" w:asciiTheme="minorAscii" w:hAnsiTheme="minorAscii" w:eastAsiaTheme="minorAscii" w:cstheme="minorAscii"/>
                <w:sz w:val="20"/>
                <w:szCs w:val="20"/>
              </w:rPr>
              <w:t xml:space="preserve"> keep them safe and </w:t>
            </w:r>
            <w:r w:rsidRPr="5B425D30" w:rsidR="1F261DBA">
              <w:rPr>
                <w:rFonts w:ascii="Calibri" w:hAnsi="Calibri" w:eastAsia="Calibri" w:cs="Calibri" w:asciiTheme="minorAscii" w:hAnsiTheme="minorAscii" w:eastAsiaTheme="minorAscii" w:cstheme="minorAscii"/>
                <w:sz w:val="20"/>
                <w:szCs w:val="20"/>
              </w:rPr>
              <w:t>provide</w:t>
            </w:r>
            <w:r w:rsidRPr="5B425D30" w:rsidR="1F261DBA">
              <w:rPr>
                <w:rFonts w:ascii="Calibri" w:hAnsi="Calibri" w:eastAsia="Calibri" w:cs="Calibri" w:asciiTheme="minorAscii" w:hAnsiTheme="minorAscii" w:eastAsiaTheme="minorAscii" w:cstheme="minorAscii"/>
                <w:sz w:val="20"/>
                <w:szCs w:val="20"/>
              </w:rPr>
              <w:t xml:space="preserve"> the best possible support we have brought in specialist training around acute mental health crisis and </w:t>
            </w:r>
            <w:r w:rsidRPr="5B425D30" w:rsidR="5B91CF12">
              <w:rPr>
                <w:rFonts w:ascii="Calibri" w:hAnsi="Calibri" w:eastAsia="Calibri" w:cs="Calibri" w:asciiTheme="minorAscii" w:hAnsiTheme="minorAscii" w:eastAsiaTheme="minorAscii" w:cstheme="minorAscii"/>
                <w:sz w:val="20"/>
                <w:szCs w:val="20"/>
              </w:rPr>
              <w:t xml:space="preserve">suicide. This work will continue next session and we are carefully considering </w:t>
            </w:r>
            <w:r w:rsidRPr="5B425D30" w:rsidR="38C369F4">
              <w:rPr>
                <w:rFonts w:ascii="Calibri" w:hAnsi="Calibri" w:eastAsia="Calibri" w:cs="Calibri" w:asciiTheme="minorAscii" w:hAnsiTheme="minorAscii" w:eastAsiaTheme="minorAscii" w:cstheme="minorAscii"/>
                <w:sz w:val="20"/>
                <w:szCs w:val="20"/>
              </w:rPr>
              <w:t>how we can support the mental health of our young people who do not speak to communicate.</w:t>
            </w:r>
            <w:r w:rsidRPr="5B425D30" w:rsidR="048CBC46">
              <w:rPr>
                <w:rFonts w:ascii="Calibri" w:hAnsi="Calibri" w:eastAsia="Calibri" w:cs="Calibri" w:asciiTheme="minorAscii" w:hAnsiTheme="minorAscii" w:eastAsiaTheme="minorAscii" w:cstheme="minorAscii"/>
                <w:sz w:val="20"/>
                <w:szCs w:val="20"/>
              </w:rPr>
              <w:t xml:space="preserve"> </w:t>
            </w:r>
          </w:p>
          <w:p w:rsidRPr="00815419" w:rsidR="00850557" w:rsidP="56501B57" w:rsidRDefault="00850557" w14:paraId="2198C163" w14:textId="0AEBD57D">
            <w:pPr>
              <w:rPr>
                <w:rFonts w:ascii="Calibri" w:hAnsi="Calibri" w:eastAsia="Calibri" w:cs="Calibri" w:asciiTheme="minorAscii" w:hAnsiTheme="minorAscii" w:eastAsiaTheme="minorAscii" w:cstheme="minorAscii"/>
                <w:sz w:val="20"/>
                <w:szCs w:val="20"/>
              </w:rPr>
            </w:pPr>
            <w:r w:rsidRPr="1DEDC464" w:rsidR="5A0CCAE8">
              <w:rPr>
                <w:rFonts w:ascii="Calibri" w:hAnsi="Calibri" w:eastAsia="Calibri" w:cs="Calibri" w:asciiTheme="minorAscii" w:hAnsiTheme="minorAscii" w:eastAsiaTheme="minorAscii" w:cstheme="minorAscii"/>
                <w:sz w:val="20"/>
                <w:szCs w:val="20"/>
              </w:rPr>
              <w:t>At a national level there is a drive to have only subject specialist teachers delivering accredited course in the Senior Phase</w:t>
            </w:r>
            <w:r w:rsidRPr="1DEDC464" w:rsidR="44A70441">
              <w:rPr>
                <w:rFonts w:ascii="Calibri" w:hAnsi="Calibri" w:eastAsia="Calibri" w:cs="Calibri" w:asciiTheme="minorAscii" w:hAnsiTheme="minorAscii" w:eastAsiaTheme="minorAscii" w:cstheme="minorAscii"/>
                <w:sz w:val="20"/>
                <w:szCs w:val="20"/>
              </w:rPr>
              <w:t>. Within New Struan our population is increasingly</w:t>
            </w:r>
            <w:r w:rsidRPr="1DEDC464" w:rsidR="5756954B">
              <w:rPr>
                <w:rFonts w:ascii="Calibri" w:hAnsi="Calibri" w:eastAsia="Calibri" w:cs="Calibri" w:asciiTheme="minorAscii" w:hAnsiTheme="minorAscii" w:eastAsiaTheme="minorAscii" w:cstheme="minorAscii"/>
                <w:sz w:val="20"/>
                <w:szCs w:val="20"/>
              </w:rPr>
              <w:t xml:space="preserve"> following individual milestones rather than the traditional pathways through the education. As a result of this we have made the </w:t>
            </w:r>
            <w:r w:rsidRPr="1DEDC464" w:rsidR="22447523">
              <w:rPr>
                <w:rFonts w:ascii="Calibri" w:hAnsi="Calibri" w:eastAsia="Calibri" w:cs="Calibri" w:asciiTheme="minorAscii" w:hAnsiTheme="minorAscii" w:eastAsiaTheme="minorAscii" w:cstheme="minorAscii"/>
                <w:sz w:val="20"/>
                <w:szCs w:val="20"/>
              </w:rPr>
              <w:t>decision</w:t>
            </w:r>
            <w:r w:rsidRPr="1DEDC464" w:rsidR="5756954B">
              <w:rPr>
                <w:rFonts w:ascii="Calibri" w:hAnsi="Calibri" w:eastAsia="Calibri" w:cs="Calibri" w:asciiTheme="minorAscii" w:hAnsiTheme="minorAscii" w:eastAsiaTheme="minorAscii" w:cstheme="minorAscii"/>
                <w:sz w:val="20"/>
                <w:szCs w:val="20"/>
              </w:rPr>
              <w:t xml:space="preserve"> to review our Senior Phase offering and have begu</w:t>
            </w:r>
            <w:r w:rsidRPr="1DEDC464" w:rsidR="4DAD84A5">
              <w:rPr>
                <w:rFonts w:ascii="Calibri" w:hAnsi="Calibri" w:eastAsia="Calibri" w:cs="Calibri" w:asciiTheme="minorAscii" w:hAnsiTheme="minorAscii" w:eastAsiaTheme="minorAscii" w:cstheme="minorAscii"/>
                <w:sz w:val="20"/>
                <w:szCs w:val="20"/>
              </w:rPr>
              <w:t>n work on a new pathway</w:t>
            </w:r>
            <w:r w:rsidRPr="1DEDC464" w:rsidR="4E39C94A">
              <w:rPr>
                <w:rFonts w:ascii="Calibri" w:hAnsi="Calibri" w:eastAsia="Calibri" w:cs="Calibri" w:asciiTheme="minorAscii" w:hAnsiTheme="minorAscii" w:eastAsiaTheme="minorAscii" w:cstheme="minorAscii"/>
                <w:sz w:val="20"/>
                <w:szCs w:val="20"/>
              </w:rPr>
              <w:t xml:space="preserve"> and furthering our links with partners such as colleges and local authority schools to broaden our offering.</w:t>
            </w:r>
            <w:r w:rsidRPr="1DEDC464" w:rsidR="4DAD84A5">
              <w:rPr>
                <w:rFonts w:ascii="Calibri" w:hAnsi="Calibri" w:eastAsia="Calibri" w:cs="Calibri" w:asciiTheme="minorAscii" w:hAnsiTheme="minorAscii" w:eastAsiaTheme="minorAscii" w:cstheme="minorAscii"/>
                <w:sz w:val="20"/>
                <w:szCs w:val="20"/>
              </w:rPr>
              <w:t xml:space="preserve"> </w:t>
            </w:r>
            <w:r w:rsidRPr="1DEDC464" w:rsidR="00850557">
              <w:rPr>
                <w:rFonts w:ascii="Calibri" w:hAnsi="Calibri" w:eastAsia="Calibri" w:cs="Calibri" w:asciiTheme="minorAscii" w:hAnsiTheme="minorAscii" w:eastAsiaTheme="minorAscii" w:cstheme="minorAscii"/>
                <w:sz w:val="20"/>
                <w:szCs w:val="20"/>
              </w:rPr>
              <w:t>Senior phase changes due to policy etc</w:t>
            </w:r>
            <w:r w:rsidRPr="1DEDC464" w:rsidR="44ABEF85">
              <w:rPr>
                <w:rFonts w:ascii="Calibri" w:hAnsi="Calibri" w:eastAsia="Calibri" w:cs="Calibri" w:asciiTheme="minorAscii" w:hAnsiTheme="minorAscii" w:eastAsiaTheme="minorAscii" w:cstheme="minorAscii"/>
                <w:sz w:val="20"/>
                <w:szCs w:val="20"/>
              </w:rPr>
              <w:t xml:space="preserve">. </w:t>
            </w:r>
            <w:r w:rsidRPr="1DEDC464" w:rsidR="39D53689">
              <w:rPr>
                <w:rFonts w:ascii="Calibri" w:hAnsi="Calibri" w:eastAsia="Calibri" w:cs="Calibri" w:asciiTheme="minorAscii" w:hAnsiTheme="minorAscii" w:eastAsiaTheme="minorAscii" w:cstheme="minorAscii"/>
                <w:sz w:val="20"/>
                <w:szCs w:val="20"/>
              </w:rPr>
              <w:t xml:space="preserve">Alongside this we are also reviewing our moderation and verification policy and processes to ensure that we continue to </w:t>
            </w:r>
            <w:r w:rsidRPr="1DEDC464" w:rsidR="39D53689">
              <w:rPr>
                <w:rFonts w:ascii="Calibri" w:hAnsi="Calibri" w:eastAsia="Calibri" w:cs="Calibri" w:asciiTheme="minorAscii" w:hAnsiTheme="minorAscii" w:eastAsiaTheme="minorAscii" w:cstheme="minorAscii"/>
                <w:sz w:val="20"/>
                <w:szCs w:val="20"/>
              </w:rPr>
              <w:t>provide</w:t>
            </w:r>
            <w:r w:rsidRPr="1DEDC464" w:rsidR="39D53689">
              <w:rPr>
                <w:rFonts w:ascii="Calibri" w:hAnsi="Calibri" w:eastAsia="Calibri" w:cs="Calibri" w:asciiTheme="minorAscii" w:hAnsiTheme="minorAscii" w:eastAsiaTheme="minorAscii" w:cstheme="minorAscii"/>
                <w:sz w:val="20"/>
                <w:szCs w:val="20"/>
              </w:rPr>
              <w:t xml:space="preserve"> a high standard of learning and </w:t>
            </w:r>
            <w:r w:rsidRPr="1DEDC464" w:rsidR="39D53689">
              <w:rPr>
                <w:rFonts w:ascii="Calibri" w:hAnsi="Calibri" w:eastAsia="Calibri" w:cs="Calibri" w:asciiTheme="minorAscii" w:hAnsiTheme="minorAscii" w:eastAsiaTheme="minorAscii" w:cstheme="minorAscii"/>
                <w:sz w:val="20"/>
                <w:szCs w:val="20"/>
              </w:rPr>
              <w:t>teaching</w:t>
            </w:r>
            <w:r w:rsidRPr="1DEDC464" w:rsidR="39D53689">
              <w:rPr>
                <w:rFonts w:ascii="Calibri" w:hAnsi="Calibri" w:eastAsia="Calibri" w:cs="Calibri" w:asciiTheme="minorAscii" w:hAnsiTheme="minorAscii" w:eastAsiaTheme="minorAscii" w:cstheme="minorAscii"/>
                <w:sz w:val="20"/>
                <w:szCs w:val="20"/>
              </w:rPr>
              <w:t>.</w:t>
            </w:r>
            <w:bookmarkStart w:name="_GoBack" w:id="0"/>
            <w:bookmarkEnd w:id="0"/>
          </w:p>
          <w:p w:rsidR="3C810C2A" w:rsidP="56501B57" w:rsidRDefault="3C810C2A" w14:paraId="45564BA2" w14:textId="304B65C4">
            <w:pPr>
              <w:pStyle w:val="Normal"/>
              <w:rPr>
                <w:rFonts w:ascii="Calibri" w:hAnsi="Calibri" w:eastAsia="Calibri" w:cs="Calibri" w:asciiTheme="minorAscii" w:hAnsiTheme="minorAscii" w:eastAsiaTheme="minorAscii" w:cstheme="minorAscii"/>
                <w:sz w:val="20"/>
                <w:szCs w:val="20"/>
              </w:rPr>
            </w:pPr>
            <w:r w:rsidRPr="1DEDC464" w:rsidR="639060E8">
              <w:rPr>
                <w:rFonts w:ascii="Calibri" w:hAnsi="Calibri" w:eastAsia="Calibri" w:cs="Calibri" w:asciiTheme="minorAscii" w:hAnsiTheme="minorAscii" w:eastAsiaTheme="minorAscii" w:cstheme="minorAscii"/>
                <w:sz w:val="20"/>
                <w:szCs w:val="20"/>
              </w:rPr>
              <w:t>Following the national discussion about Education we are now moving into a period of reform. As part of national charity New S</w:t>
            </w:r>
            <w:r w:rsidRPr="1DEDC464" w:rsidR="3699D8DB">
              <w:rPr>
                <w:rFonts w:ascii="Calibri" w:hAnsi="Calibri" w:eastAsia="Calibri" w:cs="Calibri" w:asciiTheme="minorAscii" w:hAnsiTheme="minorAscii" w:eastAsiaTheme="minorAscii" w:cstheme="minorAscii"/>
                <w:sz w:val="20"/>
                <w:szCs w:val="20"/>
              </w:rPr>
              <w:t xml:space="preserve">truan </w:t>
            </w:r>
            <w:r w:rsidRPr="1DEDC464" w:rsidR="4C75988A">
              <w:rPr>
                <w:rFonts w:ascii="Calibri" w:hAnsi="Calibri" w:eastAsia="Calibri" w:cs="Calibri" w:asciiTheme="minorAscii" w:hAnsiTheme="minorAscii" w:eastAsiaTheme="minorAscii" w:cstheme="minorAscii"/>
                <w:sz w:val="20"/>
                <w:szCs w:val="20"/>
              </w:rPr>
              <w:t>can</w:t>
            </w:r>
            <w:r w:rsidRPr="1DEDC464" w:rsidR="3699D8DB">
              <w:rPr>
                <w:rFonts w:ascii="Calibri" w:hAnsi="Calibri" w:eastAsia="Calibri" w:cs="Calibri" w:asciiTheme="minorAscii" w:hAnsiTheme="minorAscii" w:eastAsiaTheme="minorAscii" w:cstheme="minorAscii"/>
                <w:sz w:val="20"/>
                <w:szCs w:val="20"/>
              </w:rPr>
              <w:t xml:space="preserve"> amplify the </w:t>
            </w:r>
            <w:r w:rsidRPr="1DEDC464" w:rsidR="3BFDACC6">
              <w:rPr>
                <w:rFonts w:ascii="Calibri" w:hAnsi="Calibri" w:eastAsia="Calibri" w:cs="Calibri" w:asciiTheme="minorAscii" w:hAnsiTheme="minorAscii" w:eastAsiaTheme="minorAscii" w:cstheme="minorAscii"/>
                <w:sz w:val="20"/>
                <w:szCs w:val="20"/>
              </w:rPr>
              <w:t>voices</w:t>
            </w:r>
            <w:r w:rsidRPr="1DEDC464" w:rsidR="3699D8DB">
              <w:rPr>
                <w:rFonts w:ascii="Calibri" w:hAnsi="Calibri" w:eastAsia="Calibri" w:cs="Calibri" w:asciiTheme="minorAscii" w:hAnsiTheme="minorAscii" w:eastAsiaTheme="minorAscii" w:cstheme="minorAscii"/>
                <w:sz w:val="20"/>
                <w:szCs w:val="20"/>
              </w:rPr>
              <w:t xml:space="preserve"> of our young people and to advocate for their best interests in the changes to come. </w:t>
            </w:r>
            <w:r w:rsidRPr="1DEDC464" w:rsidR="460F0226">
              <w:rPr>
                <w:rFonts w:ascii="Calibri" w:hAnsi="Calibri" w:eastAsia="Calibri" w:cs="Calibri" w:asciiTheme="minorAscii" w:hAnsiTheme="minorAscii" w:eastAsiaTheme="minorAscii" w:cstheme="minorAscii"/>
                <w:sz w:val="20"/>
                <w:szCs w:val="20"/>
              </w:rPr>
              <w:t>We will be actively engaging in the reform to be in a position of readiness for the changes to come</w:t>
            </w:r>
          </w:p>
          <w:p w:rsidR="004528EE" w:rsidP="00D12CA2" w:rsidRDefault="004528EE" w14:paraId="1172B476" w14:textId="0C61B9EB">
            <w:pPr>
              <w:rPr>
                <w:rFonts w:ascii="Arial" w:hAnsi="Arial"/>
                <w:b/>
                <w:szCs w:val="24"/>
              </w:rPr>
            </w:pPr>
          </w:p>
        </w:tc>
      </w:tr>
      <w:tr w:rsidRPr="00982061" w:rsidR="004B730B" w:rsidTr="35831371" w14:paraId="723EA447" w14:textId="77777777">
        <w:trPr>
          <w:trHeight w:val="165"/>
        </w:trPr>
        <w:tc>
          <w:tcPr>
            <w:tcW w:w="15304" w:type="dxa"/>
            <w:tcMar/>
          </w:tcPr>
          <w:p w:rsidR="004B730B" w:rsidP="00A42DF7" w:rsidRDefault="00D12CA2" w14:paraId="2F217824" w14:textId="77777777">
            <w:pPr>
              <w:rPr>
                <w:rFonts w:ascii="Arial" w:hAnsi="Arial"/>
                <w:b/>
                <w:szCs w:val="24"/>
              </w:rPr>
            </w:pPr>
            <w:r w:rsidRPr="00BE5BBA">
              <w:rPr>
                <w:rFonts w:ascii="Arial" w:hAnsi="Arial"/>
                <w:b/>
                <w:szCs w:val="24"/>
              </w:rPr>
              <w:t>Next Steps</w:t>
            </w:r>
          </w:p>
          <w:p w:rsidRPr="00815419" w:rsidR="005107B2" w:rsidP="56501B57" w:rsidRDefault="009F20D0" w14:paraId="2184133D" w14:textId="234EFF00">
            <w:pPr>
              <w:pStyle w:val="ListParagraph"/>
              <w:numPr>
                <w:ilvl w:val="0"/>
                <w:numId w:val="11"/>
              </w:numPr>
              <w:rPr>
                <w:rFonts w:ascii="Calibri" w:hAnsi="Calibri" w:cs="Calibri" w:asciiTheme="minorAscii" w:hAnsiTheme="minorAscii" w:cstheme="minorAscii"/>
                <w:sz w:val="20"/>
                <w:szCs w:val="20"/>
              </w:rPr>
            </w:pPr>
            <w:r w:rsidRPr="5B425D30" w:rsidR="009F20D0">
              <w:rPr>
                <w:rFonts w:ascii="Calibri" w:hAnsi="Calibri" w:cs="Calibri" w:asciiTheme="minorAscii" w:hAnsiTheme="minorAscii" w:cstheme="minorAscii"/>
                <w:sz w:val="20"/>
                <w:szCs w:val="20"/>
              </w:rPr>
              <w:t xml:space="preserve">Weaving Learning for Sustainability through </w:t>
            </w:r>
            <w:r w:rsidRPr="5B425D30" w:rsidR="009F20D0">
              <w:rPr>
                <w:rFonts w:ascii="Calibri" w:hAnsi="Calibri" w:cs="Calibri" w:asciiTheme="minorAscii" w:hAnsiTheme="minorAscii" w:cstheme="minorAscii"/>
                <w:sz w:val="20"/>
                <w:szCs w:val="20"/>
              </w:rPr>
              <w:t>all of</w:t>
            </w:r>
            <w:r w:rsidRPr="5B425D30" w:rsidR="009F20D0">
              <w:rPr>
                <w:rFonts w:ascii="Calibri" w:hAnsi="Calibri" w:cs="Calibri" w:asciiTheme="minorAscii" w:hAnsiTheme="minorAscii" w:cstheme="minorAscii"/>
                <w:sz w:val="20"/>
                <w:szCs w:val="20"/>
              </w:rPr>
              <w:t xml:space="preserve"> our </w:t>
            </w:r>
            <w:r w:rsidRPr="5B425D30" w:rsidR="00815419">
              <w:rPr>
                <w:rFonts w:ascii="Calibri" w:hAnsi="Calibri" w:cs="Calibri" w:asciiTheme="minorAscii" w:hAnsiTheme="minorAscii" w:cstheme="minorAscii"/>
                <w:sz w:val="20"/>
                <w:szCs w:val="20"/>
              </w:rPr>
              <w:t>development work and practice</w:t>
            </w:r>
            <w:r w:rsidRPr="5B425D30" w:rsidR="3D1D7584">
              <w:rPr>
                <w:rFonts w:ascii="Calibri" w:hAnsi="Calibri" w:cs="Calibri" w:asciiTheme="minorAscii" w:hAnsiTheme="minorAscii" w:cstheme="minorAscii"/>
                <w:sz w:val="20"/>
                <w:szCs w:val="20"/>
              </w:rPr>
              <w:t xml:space="preserve"> which links explicitly to the UNCRC</w:t>
            </w:r>
          </w:p>
          <w:p w:rsidR="23DAD4F1" w:rsidP="5B425D30" w:rsidRDefault="23DAD4F1" w14:paraId="06AD8BE0" w14:textId="442A9361">
            <w:pPr>
              <w:pStyle w:val="ListParagraph"/>
              <w:numPr>
                <w:ilvl w:val="0"/>
                <w:numId w:val="11"/>
              </w:numPr>
              <w:rPr>
                <w:rFonts w:ascii="Calibri" w:hAnsi="Calibri" w:eastAsia="Calibri" w:cs="Calibri" w:asciiTheme="minorAscii" w:hAnsiTheme="minorAscii" w:cstheme="minorAscii"/>
                <w:color w:val="333333"/>
                <w:sz w:val="20"/>
                <w:szCs w:val="20"/>
              </w:rPr>
            </w:pPr>
            <w:r w:rsidRPr="35831371" w:rsidR="23DAD4F1">
              <w:rPr>
                <w:rFonts w:ascii="Calibri" w:hAnsi="Calibri" w:eastAsia="Calibri" w:cs="Calibri" w:asciiTheme="minorAscii" w:hAnsiTheme="minorAscii" w:cstheme="minorAscii"/>
                <w:color w:val="333333"/>
                <w:sz w:val="20"/>
                <w:szCs w:val="20"/>
              </w:rPr>
              <w:t>Next steps with play pedagogy</w:t>
            </w:r>
            <w:r w:rsidRPr="35831371" w:rsidR="2C4B15BC">
              <w:rPr>
                <w:rFonts w:ascii="Calibri" w:hAnsi="Calibri" w:eastAsia="Calibri" w:cs="Calibri" w:asciiTheme="minorAscii" w:hAnsiTheme="minorAscii" w:cstheme="minorAscii"/>
                <w:color w:val="333333"/>
                <w:sz w:val="20"/>
                <w:szCs w:val="20"/>
              </w:rPr>
              <w:t xml:space="preserve"> </w:t>
            </w:r>
            <w:r w:rsidRPr="35831371" w:rsidR="28B8E2C3">
              <w:rPr>
                <w:rFonts w:ascii="Calibri" w:hAnsi="Calibri" w:eastAsia="Calibri" w:cs="Calibri" w:asciiTheme="minorAscii" w:hAnsiTheme="minorAscii" w:cstheme="minorAscii"/>
                <w:color w:val="333333"/>
                <w:sz w:val="20"/>
                <w:szCs w:val="20"/>
              </w:rPr>
              <w:t>will be to further develop our practice through</w:t>
            </w:r>
            <w:r w:rsidRPr="35831371" w:rsidR="2C4B15BC">
              <w:rPr>
                <w:rFonts w:ascii="Calibri" w:hAnsi="Calibri" w:eastAsia="Calibri" w:cs="Calibri" w:asciiTheme="minorAscii" w:hAnsiTheme="minorAscii" w:cstheme="minorAscii"/>
                <w:color w:val="333333"/>
                <w:sz w:val="20"/>
                <w:szCs w:val="20"/>
              </w:rPr>
              <w:t xml:space="preserve"> professional </w:t>
            </w:r>
            <w:r w:rsidRPr="35831371" w:rsidR="2C4B15BC">
              <w:rPr>
                <w:rFonts w:ascii="Calibri" w:hAnsi="Calibri" w:eastAsia="Calibri" w:cs="Calibri" w:asciiTheme="minorAscii" w:hAnsiTheme="minorAscii" w:cstheme="minorAscii"/>
                <w:color w:val="333333"/>
                <w:sz w:val="20"/>
                <w:szCs w:val="20"/>
              </w:rPr>
              <w:t>enquiry</w:t>
            </w:r>
            <w:r w:rsidRPr="35831371" w:rsidR="080B555C">
              <w:rPr>
                <w:rFonts w:ascii="Calibri" w:hAnsi="Calibri" w:eastAsia="Calibri" w:cs="Calibri" w:asciiTheme="minorAscii" w:hAnsiTheme="minorAscii" w:cstheme="minorAscii"/>
                <w:color w:val="333333"/>
                <w:sz w:val="20"/>
                <w:szCs w:val="20"/>
              </w:rPr>
              <w:t>,</w:t>
            </w:r>
            <w:r w:rsidRPr="35831371" w:rsidR="1CA6A25A">
              <w:rPr>
                <w:rFonts w:ascii="Calibri" w:hAnsi="Calibri" w:eastAsia="Calibri" w:cs="Calibri" w:asciiTheme="minorAscii" w:hAnsiTheme="minorAscii" w:cstheme="minorAscii"/>
                <w:color w:val="333333"/>
                <w:sz w:val="20"/>
                <w:szCs w:val="20"/>
              </w:rPr>
              <w:t xml:space="preserve"> </w:t>
            </w:r>
            <w:r w:rsidRPr="35831371" w:rsidR="2C4B15BC">
              <w:rPr>
                <w:rFonts w:ascii="Calibri" w:hAnsi="Calibri" w:eastAsia="Calibri" w:cs="Calibri" w:asciiTheme="minorAscii" w:hAnsiTheme="minorAscii" w:cstheme="minorAscii"/>
                <w:color w:val="333333"/>
                <w:sz w:val="20"/>
                <w:szCs w:val="20"/>
              </w:rPr>
              <w:t xml:space="preserve"> case</w:t>
            </w:r>
            <w:r w:rsidRPr="35831371" w:rsidR="2C4B15BC">
              <w:rPr>
                <w:rFonts w:ascii="Calibri" w:hAnsi="Calibri" w:eastAsia="Calibri" w:cs="Calibri" w:asciiTheme="minorAscii" w:hAnsiTheme="minorAscii" w:cstheme="minorAscii"/>
                <w:color w:val="333333"/>
                <w:sz w:val="20"/>
                <w:szCs w:val="20"/>
              </w:rPr>
              <w:t xml:space="preserve"> study approach, heuristic </w:t>
            </w:r>
            <w:r w:rsidRPr="35831371" w:rsidR="2C4B15BC">
              <w:rPr>
                <w:rFonts w:ascii="Calibri" w:hAnsi="Calibri" w:eastAsia="Calibri" w:cs="Calibri" w:asciiTheme="minorAscii" w:hAnsiTheme="minorAscii" w:cstheme="minorAscii"/>
                <w:color w:val="333333"/>
                <w:sz w:val="20"/>
                <w:szCs w:val="20"/>
              </w:rPr>
              <w:t>play</w:t>
            </w:r>
            <w:r w:rsidRPr="35831371" w:rsidR="2C4B15BC">
              <w:rPr>
                <w:rFonts w:ascii="Calibri" w:hAnsi="Calibri" w:eastAsia="Calibri" w:cs="Calibri" w:asciiTheme="minorAscii" w:hAnsiTheme="minorAscii" w:cstheme="minorAscii"/>
                <w:color w:val="333333"/>
                <w:sz w:val="20"/>
                <w:szCs w:val="20"/>
              </w:rPr>
              <w:t xml:space="preserve"> and </w:t>
            </w:r>
            <w:r w:rsidRPr="35831371" w:rsidR="1DC7DF38">
              <w:rPr>
                <w:rFonts w:ascii="Calibri" w:hAnsi="Calibri" w:eastAsia="Calibri" w:cs="Calibri" w:asciiTheme="minorAscii" w:hAnsiTheme="minorAscii" w:cstheme="minorAscii"/>
                <w:color w:val="333333"/>
                <w:sz w:val="20"/>
                <w:szCs w:val="20"/>
              </w:rPr>
              <w:t xml:space="preserve">further development </w:t>
            </w:r>
            <w:r w:rsidRPr="35831371" w:rsidR="1DC7DF38">
              <w:rPr>
                <w:rFonts w:ascii="Calibri" w:hAnsi="Calibri" w:eastAsia="Calibri" w:cs="Calibri" w:asciiTheme="minorAscii" w:hAnsiTheme="minorAscii" w:cstheme="minorAscii"/>
                <w:color w:val="333333"/>
                <w:sz w:val="20"/>
                <w:szCs w:val="20"/>
              </w:rPr>
              <w:t>of</w:t>
            </w:r>
            <w:r w:rsidRPr="35831371" w:rsidR="2C4B15BC">
              <w:rPr>
                <w:rFonts w:ascii="Calibri" w:hAnsi="Calibri" w:eastAsia="Calibri" w:cs="Calibri" w:asciiTheme="minorAscii" w:hAnsiTheme="minorAscii" w:cstheme="minorAscii"/>
                <w:color w:val="333333"/>
                <w:sz w:val="20"/>
                <w:szCs w:val="20"/>
              </w:rPr>
              <w:t xml:space="preserve"> block</w:t>
            </w:r>
            <w:r w:rsidRPr="35831371" w:rsidR="2C4B15BC">
              <w:rPr>
                <w:rFonts w:ascii="Calibri" w:hAnsi="Calibri" w:eastAsia="Calibri" w:cs="Calibri" w:asciiTheme="minorAscii" w:hAnsiTheme="minorAscii" w:cstheme="minorAscii"/>
                <w:color w:val="333333"/>
                <w:sz w:val="20"/>
                <w:szCs w:val="20"/>
              </w:rPr>
              <w:t xml:space="preserve"> play</w:t>
            </w:r>
          </w:p>
          <w:p w:rsidR="00815419" w:rsidP="391715AD" w:rsidRDefault="00815419" w14:paraId="50A6CC95" w14:textId="7B50B364">
            <w:pPr>
              <w:pStyle w:val="ListParagraph"/>
              <w:numPr>
                <w:ilvl w:val="0"/>
                <w:numId w:val="11"/>
              </w:numPr>
              <w:rPr>
                <w:rFonts w:ascii="Calibri" w:hAnsi="Calibri" w:cs="Calibri" w:asciiTheme="minorAscii" w:hAnsiTheme="minorAscii" w:cstheme="minorAscii"/>
                <w:sz w:val="20"/>
                <w:szCs w:val="20"/>
              </w:rPr>
            </w:pPr>
            <w:r w:rsidRPr="391715AD" w:rsidR="00815419">
              <w:rPr>
                <w:rFonts w:ascii="Calibri" w:hAnsi="Calibri" w:cs="Calibri" w:asciiTheme="minorAscii" w:hAnsiTheme="minorAscii" w:cstheme="minorAscii"/>
                <w:sz w:val="20"/>
                <w:szCs w:val="20"/>
              </w:rPr>
              <w:t>Our focus on taking forward the Low Arousal Approach will centre on the communication of our young people and their meaningful participation in planning their learning</w:t>
            </w:r>
            <w:r w:rsidRPr="391715AD" w:rsidR="73692FEE">
              <w:rPr>
                <w:rFonts w:ascii="Calibri" w:hAnsi="Calibri" w:cs="Calibri" w:asciiTheme="minorAscii" w:hAnsiTheme="minorAscii" w:cstheme="minorAscii"/>
                <w:sz w:val="20"/>
                <w:szCs w:val="20"/>
              </w:rPr>
              <w:t xml:space="preserve"> and making choices</w:t>
            </w:r>
            <w:r w:rsidRPr="391715AD" w:rsidR="00815419">
              <w:rPr>
                <w:rFonts w:ascii="Calibri" w:hAnsi="Calibri" w:cs="Calibri" w:asciiTheme="minorAscii" w:hAnsiTheme="minorAscii" w:cstheme="minorAscii"/>
                <w:sz w:val="20"/>
                <w:szCs w:val="20"/>
              </w:rPr>
              <w:t xml:space="preserve">. </w:t>
            </w:r>
          </w:p>
          <w:p w:rsidRPr="00815419" w:rsidR="00815419" w:rsidP="56501B57" w:rsidRDefault="00815419" w14:paraId="5CB513A0" w14:textId="1B4F0E91">
            <w:pPr>
              <w:pStyle w:val="ListParagraph"/>
              <w:numPr>
                <w:ilvl w:val="0"/>
                <w:numId w:val="11"/>
              </w:numPr>
              <w:rPr>
                <w:rFonts w:ascii="Calibri" w:hAnsi="Calibri" w:cs="Calibri" w:asciiTheme="minorAscii" w:hAnsiTheme="minorAscii" w:cstheme="minorAscii"/>
                <w:sz w:val="20"/>
                <w:szCs w:val="20"/>
              </w:rPr>
            </w:pPr>
            <w:r w:rsidRPr="5B425D30" w:rsidR="75D6FCD4">
              <w:rPr>
                <w:rFonts w:ascii="Calibri" w:hAnsi="Calibri" w:cs="Calibri" w:asciiTheme="minorAscii" w:hAnsiTheme="minorAscii" w:cstheme="minorAscii"/>
                <w:sz w:val="20"/>
                <w:szCs w:val="20"/>
              </w:rPr>
              <w:t xml:space="preserve">Ensuring our readiness </w:t>
            </w:r>
            <w:r w:rsidRPr="5B425D30" w:rsidR="1BDDDE4D">
              <w:rPr>
                <w:rFonts w:ascii="Calibri" w:hAnsi="Calibri" w:cs="Calibri" w:asciiTheme="minorAscii" w:hAnsiTheme="minorAscii" w:cstheme="minorAscii"/>
                <w:sz w:val="20"/>
                <w:szCs w:val="20"/>
              </w:rPr>
              <w:t xml:space="preserve">for </w:t>
            </w:r>
            <w:r w:rsidRPr="5B425D30" w:rsidR="1BDDDE4D">
              <w:rPr>
                <w:rFonts w:ascii="Calibri" w:hAnsi="Calibri" w:cs="Calibri" w:asciiTheme="minorAscii" w:hAnsiTheme="minorAscii" w:cstheme="minorAscii"/>
                <w:sz w:val="20"/>
                <w:szCs w:val="20"/>
              </w:rPr>
              <w:t xml:space="preserve">change </w:t>
            </w:r>
            <w:r w:rsidRPr="5B425D30" w:rsidR="47386EB0">
              <w:rPr>
                <w:rFonts w:ascii="Calibri" w:hAnsi="Calibri" w:cs="Calibri" w:asciiTheme="minorAscii" w:hAnsiTheme="minorAscii" w:cstheme="minorAscii"/>
                <w:sz w:val="20"/>
                <w:szCs w:val="20"/>
              </w:rPr>
              <w:t xml:space="preserve">due to Educational Reform and </w:t>
            </w:r>
            <w:r w:rsidRPr="5B425D30" w:rsidR="47386EB0">
              <w:rPr>
                <w:rFonts w:ascii="Calibri" w:hAnsi="Calibri" w:cs="Calibri" w:asciiTheme="minorAscii" w:hAnsiTheme="minorAscii" w:cstheme="minorAscii"/>
                <w:sz w:val="20"/>
                <w:szCs w:val="20"/>
              </w:rPr>
              <w:t>em</w:t>
            </w:r>
            <w:r w:rsidRPr="5B425D30" w:rsidR="47386EB0">
              <w:rPr>
                <w:rFonts w:ascii="Calibri" w:hAnsi="Calibri" w:cs="Calibri" w:asciiTheme="minorAscii" w:hAnsiTheme="minorAscii" w:cstheme="minorAscii"/>
                <w:sz w:val="20"/>
                <w:szCs w:val="20"/>
              </w:rPr>
              <w:t>bedding our new approach to the Senior Phase</w:t>
            </w:r>
          </w:p>
          <w:p w:rsidRPr="005107B2" w:rsidR="005107B2" w:rsidP="005107B2" w:rsidRDefault="005107B2" w14:paraId="5CEC59D2" w14:textId="0DDE3AD7">
            <w:pPr>
              <w:rPr>
                <w:rFonts w:ascii="Arial" w:hAnsi="Arial"/>
                <w:b/>
                <w:szCs w:val="24"/>
              </w:rPr>
            </w:pPr>
          </w:p>
        </w:tc>
      </w:tr>
    </w:tbl>
    <w:p w:rsidR="00685B70" w:rsidP="00685B70" w:rsidRDefault="00685B70" w14:paraId="660345C3" w14:textId="2A8BF086">
      <w:pPr>
        <w:rPr>
          <w:rFonts w:ascii="Arial" w:hAnsi="Arial"/>
          <w:b/>
          <w:color w:val="auto"/>
        </w:rPr>
      </w:pPr>
    </w:p>
    <w:tbl>
      <w:tblPr>
        <w:tblStyle w:val="TableGrid"/>
        <w:tblW w:w="0" w:type="auto"/>
        <w:tblLayout w:type="fixed"/>
        <w:tblLook w:val="04A0" w:firstRow="1" w:lastRow="0" w:firstColumn="1" w:lastColumn="0" w:noHBand="0" w:noVBand="1"/>
      </w:tblPr>
      <w:tblGrid>
        <w:gridCol w:w="3424"/>
        <w:gridCol w:w="1597"/>
        <w:gridCol w:w="1598"/>
        <w:gridCol w:w="1598"/>
        <w:gridCol w:w="7087"/>
      </w:tblGrid>
      <w:tr w:rsidRPr="00982061" w:rsidR="00685B70" w:rsidTr="005B7CCF" w14:paraId="375E07B5" w14:textId="77777777">
        <w:trPr>
          <w:trHeight w:val="756"/>
        </w:trPr>
        <w:tc>
          <w:tcPr>
            <w:tcW w:w="15304" w:type="dxa"/>
            <w:gridSpan w:val="5"/>
            <w:vAlign w:val="center"/>
          </w:tcPr>
          <w:p w:rsidRPr="00685B70" w:rsidR="00685B70" w:rsidP="00A42DF7" w:rsidRDefault="00E7049E" w14:paraId="26982F5F" w14:textId="0CA993D9">
            <w:pPr>
              <w:jc w:val="center"/>
              <w:rPr>
                <w:rFonts w:ascii="Arial" w:hAnsi="Arial"/>
                <w:b/>
                <w:sz w:val="22"/>
                <w:szCs w:val="22"/>
              </w:rPr>
            </w:pPr>
            <w:r>
              <w:rPr>
                <w:rFonts w:ascii="Arial" w:hAnsi="Arial"/>
                <w:b/>
                <w:sz w:val="22"/>
                <w:szCs w:val="22"/>
              </w:rPr>
              <w:t>N</w:t>
            </w:r>
            <w:r w:rsidR="00D12CA2">
              <w:rPr>
                <w:rFonts w:ascii="Arial" w:hAnsi="Arial"/>
                <w:b/>
                <w:sz w:val="22"/>
                <w:szCs w:val="22"/>
              </w:rPr>
              <w:t xml:space="preserve">ational </w:t>
            </w:r>
            <w:r w:rsidRPr="00685B70" w:rsidR="00685B70">
              <w:rPr>
                <w:rFonts w:ascii="Arial" w:hAnsi="Arial"/>
                <w:b/>
                <w:sz w:val="22"/>
                <w:szCs w:val="22"/>
              </w:rPr>
              <w:t>I</w:t>
            </w:r>
            <w:r w:rsidR="00D12CA2">
              <w:rPr>
                <w:rFonts w:ascii="Arial" w:hAnsi="Arial"/>
                <w:b/>
                <w:sz w:val="22"/>
                <w:szCs w:val="22"/>
              </w:rPr>
              <w:t xml:space="preserve">mprovement </w:t>
            </w:r>
            <w:r w:rsidRPr="00685B70" w:rsidR="00685B70">
              <w:rPr>
                <w:rFonts w:ascii="Arial" w:hAnsi="Arial"/>
                <w:b/>
                <w:sz w:val="22"/>
                <w:szCs w:val="22"/>
              </w:rPr>
              <w:t>F</w:t>
            </w:r>
            <w:r w:rsidR="00D12CA2">
              <w:rPr>
                <w:rFonts w:ascii="Arial" w:hAnsi="Arial"/>
                <w:b/>
                <w:sz w:val="22"/>
                <w:szCs w:val="22"/>
              </w:rPr>
              <w:t>ramework</w:t>
            </w:r>
            <w:r w:rsidRPr="00685B70" w:rsidR="00685B70">
              <w:rPr>
                <w:rFonts w:ascii="Arial" w:hAnsi="Arial"/>
                <w:b/>
                <w:sz w:val="22"/>
                <w:szCs w:val="22"/>
              </w:rPr>
              <w:t xml:space="preserve"> Quality Indicators (HGIOS 4) School Self- Evaluation</w:t>
            </w:r>
          </w:p>
        </w:tc>
      </w:tr>
      <w:tr w:rsidRPr="00982061" w:rsidR="00685B70" w:rsidTr="005B7CCF" w14:paraId="407AE119" w14:textId="77777777">
        <w:trPr>
          <w:cantSplit/>
          <w:trHeight w:val="1005"/>
        </w:trPr>
        <w:tc>
          <w:tcPr>
            <w:tcW w:w="3424" w:type="dxa"/>
            <w:vAlign w:val="center"/>
          </w:tcPr>
          <w:p w:rsidRPr="00685B70" w:rsidR="00685B70" w:rsidP="00A42DF7" w:rsidRDefault="00685B70" w14:paraId="2D5A8D70" w14:textId="77777777">
            <w:pPr>
              <w:jc w:val="center"/>
              <w:rPr>
                <w:rFonts w:ascii="Arial" w:hAnsi="Arial"/>
                <w:b/>
                <w:sz w:val="22"/>
                <w:szCs w:val="22"/>
              </w:rPr>
            </w:pPr>
            <w:r w:rsidRPr="00685B70">
              <w:rPr>
                <w:rFonts w:ascii="Arial" w:hAnsi="Arial"/>
                <w:b/>
                <w:sz w:val="22"/>
                <w:szCs w:val="22"/>
              </w:rPr>
              <w:t>Quality Indicator</w:t>
            </w:r>
          </w:p>
        </w:tc>
        <w:tc>
          <w:tcPr>
            <w:tcW w:w="1597" w:type="dxa"/>
            <w:vAlign w:val="center"/>
          </w:tcPr>
          <w:p w:rsidRPr="00685B70" w:rsidR="00685B70" w:rsidP="00A42DF7" w:rsidRDefault="005C537D" w14:paraId="05F0BDA2" w14:textId="662648A9">
            <w:pPr>
              <w:jc w:val="center"/>
              <w:rPr>
                <w:rFonts w:ascii="Arial" w:hAnsi="Arial"/>
                <w:b/>
                <w:sz w:val="22"/>
                <w:szCs w:val="22"/>
              </w:rPr>
            </w:pPr>
            <w:r>
              <w:rPr>
                <w:rFonts w:ascii="Arial" w:hAnsi="Arial"/>
                <w:b/>
                <w:sz w:val="22"/>
                <w:szCs w:val="22"/>
              </w:rPr>
              <w:t>2020-2021</w:t>
            </w:r>
          </w:p>
        </w:tc>
        <w:tc>
          <w:tcPr>
            <w:tcW w:w="1598" w:type="dxa"/>
            <w:vAlign w:val="center"/>
          </w:tcPr>
          <w:p w:rsidRPr="00685B70" w:rsidR="00685B70" w:rsidP="00A42DF7" w:rsidRDefault="005C537D" w14:paraId="7FA7AF50" w14:textId="4860AB61">
            <w:pPr>
              <w:jc w:val="center"/>
              <w:rPr>
                <w:rFonts w:ascii="Arial" w:hAnsi="Arial"/>
                <w:b/>
                <w:sz w:val="22"/>
                <w:szCs w:val="22"/>
              </w:rPr>
            </w:pPr>
            <w:r>
              <w:rPr>
                <w:rFonts w:ascii="Arial" w:hAnsi="Arial"/>
                <w:b/>
                <w:sz w:val="22"/>
                <w:szCs w:val="22"/>
              </w:rPr>
              <w:t>2021 - 2022</w:t>
            </w:r>
          </w:p>
        </w:tc>
        <w:tc>
          <w:tcPr>
            <w:tcW w:w="1598" w:type="dxa"/>
            <w:vAlign w:val="center"/>
          </w:tcPr>
          <w:p w:rsidRPr="00685B70" w:rsidR="00685B70" w:rsidP="00A42DF7" w:rsidRDefault="005C537D" w14:paraId="5EFD8A7E" w14:textId="71C84E62">
            <w:pPr>
              <w:jc w:val="center"/>
              <w:rPr>
                <w:rFonts w:ascii="Arial" w:hAnsi="Arial"/>
                <w:b/>
                <w:sz w:val="22"/>
                <w:szCs w:val="22"/>
              </w:rPr>
            </w:pPr>
            <w:r>
              <w:rPr>
                <w:rFonts w:ascii="Arial" w:hAnsi="Arial"/>
                <w:b/>
                <w:sz w:val="22"/>
                <w:szCs w:val="22"/>
              </w:rPr>
              <w:t>2022- 2023</w:t>
            </w:r>
          </w:p>
        </w:tc>
        <w:tc>
          <w:tcPr>
            <w:tcW w:w="7087" w:type="dxa"/>
            <w:vAlign w:val="center"/>
          </w:tcPr>
          <w:p w:rsidR="00685B70" w:rsidP="00A42DF7" w:rsidRDefault="00685B70" w14:paraId="3FB6FC7C" w14:textId="089ED9D8">
            <w:pPr>
              <w:jc w:val="center"/>
              <w:rPr>
                <w:rFonts w:ascii="Arial" w:hAnsi="Arial"/>
                <w:b/>
                <w:sz w:val="22"/>
                <w:szCs w:val="22"/>
              </w:rPr>
            </w:pPr>
            <w:r w:rsidRPr="00685B70">
              <w:rPr>
                <w:rFonts w:ascii="Arial" w:hAnsi="Arial"/>
                <w:b/>
                <w:sz w:val="22"/>
                <w:szCs w:val="22"/>
              </w:rPr>
              <w:t>Inspection Evaluation</w:t>
            </w:r>
          </w:p>
          <w:p w:rsidRPr="00BE5BBA" w:rsidR="00685B70" w:rsidP="00BE5BBA" w:rsidRDefault="00BE5BBA" w14:paraId="6A00EC6C" w14:textId="4F51F54F">
            <w:pPr>
              <w:jc w:val="center"/>
              <w:rPr>
                <w:rFonts w:ascii="Arial" w:hAnsi="Arial"/>
                <w:b/>
                <w:sz w:val="22"/>
                <w:szCs w:val="22"/>
              </w:rPr>
            </w:pPr>
            <w:r>
              <w:rPr>
                <w:rFonts w:ascii="Arial" w:hAnsi="Arial"/>
                <w:b/>
                <w:sz w:val="22"/>
                <w:szCs w:val="22"/>
              </w:rPr>
              <w:t>August 2019</w:t>
            </w:r>
          </w:p>
        </w:tc>
      </w:tr>
      <w:tr w:rsidRPr="00982061" w:rsidR="00685B70" w:rsidTr="005B7CCF" w14:paraId="0F1F70DF" w14:textId="77777777">
        <w:trPr>
          <w:trHeight w:val="680"/>
        </w:trPr>
        <w:tc>
          <w:tcPr>
            <w:tcW w:w="3424" w:type="dxa"/>
            <w:vAlign w:val="center"/>
          </w:tcPr>
          <w:p w:rsidRPr="00685B70" w:rsidR="00685B70" w:rsidP="00A42DF7" w:rsidRDefault="00685B70" w14:paraId="451A4B35" w14:textId="77777777">
            <w:pPr>
              <w:rPr>
                <w:rFonts w:ascii="Arial" w:hAnsi="Arial"/>
                <w:sz w:val="22"/>
                <w:szCs w:val="22"/>
              </w:rPr>
            </w:pPr>
            <w:r w:rsidRPr="00685B70">
              <w:rPr>
                <w:rFonts w:ascii="Arial" w:hAnsi="Arial"/>
                <w:sz w:val="22"/>
                <w:szCs w:val="22"/>
              </w:rPr>
              <w:lastRenderedPageBreak/>
              <w:t>1.3 Leadership of change</w:t>
            </w:r>
          </w:p>
        </w:tc>
        <w:tc>
          <w:tcPr>
            <w:tcW w:w="1597" w:type="dxa"/>
            <w:vAlign w:val="center"/>
          </w:tcPr>
          <w:p w:rsidRPr="00685B70" w:rsidR="00685B70" w:rsidP="00A42DF7" w:rsidRDefault="00BE5BBA" w14:paraId="1CC402E7" w14:textId="7ECF7748">
            <w:pPr>
              <w:rPr>
                <w:rFonts w:ascii="Arial" w:hAnsi="Arial"/>
                <w:sz w:val="22"/>
                <w:szCs w:val="22"/>
              </w:rPr>
            </w:pPr>
            <w:r>
              <w:rPr>
                <w:rFonts w:ascii="Arial" w:hAnsi="Arial"/>
                <w:sz w:val="22"/>
                <w:szCs w:val="22"/>
              </w:rPr>
              <w:t xml:space="preserve">Good </w:t>
            </w:r>
          </w:p>
        </w:tc>
        <w:tc>
          <w:tcPr>
            <w:tcW w:w="1598" w:type="dxa"/>
            <w:vAlign w:val="center"/>
          </w:tcPr>
          <w:p w:rsidRPr="00685B70" w:rsidR="00685B70" w:rsidP="00A42DF7" w:rsidRDefault="00BE5BBA" w14:paraId="26B018CF" w14:textId="2C47220C">
            <w:pPr>
              <w:rPr>
                <w:rFonts w:ascii="Arial" w:hAnsi="Arial"/>
                <w:sz w:val="22"/>
                <w:szCs w:val="22"/>
              </w:rPr>
            </w:pPr>
            <w:r>
              <w:rPr>
                <w:rFonts w:ascii="Arial" w:hAnsi="Arial"/>
                <w:sz w:val="22"/>
                <w:szCs w:val="22"/>
              </w:rPr>
              <w:t xml:space="preserve">Good </w:t>
            </w:r>
          </w:p>
        </w:tc>
        <w:tc>
          <w:tcPr>
            <w:tcW w:w="1598" w:type="dxa"/>
            <w:vAlign w:val="center"/>
          </w:tcPr>
          <w:p w:rsidRPr="00685B70" w:rsidR="00685B70" w:rsidP="00A42DF7" w:rsidRDefault="00BE5BBA" w14:paraId="4CB47C37" w14:textId="0EC54AD8">
            <w:pPr>
              <w:rPr>
                <w:rFonts w:ascii="Arial" w:hAnsi="Arial"/>
                <w:sz w:val="22"/>
                <w:szCs w:val="22"/>
              </w:rPr>
            </w:pPr>
            <w:r>
              <w:rPr>
                <w:rFonts w:ascii="Arial" w:hAnsi="Arial"/>
                <w:sz w:val="22"/>
                <w:szCs w:val="22"/>
              </w:rPr>
              <w:t>Good</w:t>
            </w:r>
          </w:p>
        </w:tc>
        <w:tc>
          <w:tcPr>
            <w:tcW w:w="7087" w:type="dxa"/>
            <w:vAlign w:val="center"/>
          </w:tcPr>
          <w:p w:rsidRPr="00685B70" w:rsidR="00685B70" w:rsidP="00A42DF7" w:rsidRDefault="00BE5BBA" w14:paraId="430E1A9A" w14:textId="6166B062">
            <w:pPr>
              <w:rPr>
                <w:rFonts w:ascii="Arial" w:hAnsi="Arial"/>
                <w:sz w:val="22"/>
                <w:szCs w:val="22"/>
              </w:rPr>
            </w:pPr>
            <w:r>
              <w:rPr>
                <w:rFonts w:ascii="Arial" w:hAnsi="Arial"/>
                <w:sz w:val="22"/>
                <w:szCs w:val="22"/>
              </w:rPr>
              <w:t>Good</w:t>
            </w:r>
          </w:p>
        </w:tc>
      </w:tr>
      <w:tr w:rsidRPr="00982061" w:rsidR="00685B70" w:rsidTr="005B7CCF" w14:paraId="31A1B5F6" w14:textId="77777777">
        <w:trPr>
          <w:trHeight w:val="680"/>
        </w:trPr>
        <w:tc>
          <w:tcPr>
            <w:tcW w:w="3424" w:type="dxa"/>
            <w:vAlign w:val="center"/>
          </w:tcPr>
          <w:p w:rsidRPr="00685B70" w:rsidR="00685B70" w:rsidP="00A42DF7" w:rsidRDefault="00685B70" w14:paraId="4439D635" w14:textId="77777777">
            <w:pPr>
              <w:rPr>
                <w:rFonts w:ascii="Arial" w:hAnsi="Arial"/>
                <w:sz w:val="22"/>
                <w:szCs w:val="22"/>
              </w:rPr>
            </w:pPr>
            <w:r w:rsidRPr="00685B70">
              <w:rPr>
                <w:rFonts w:ascii="Arial" w:hAnsi="Arial"/>
                <w:sz w:val="22"/>
                <w:szCs w:val="22"/>
              </w:rPr>
              <w:t>2.3 Learning, teaching and assessment</w:t>
            </w:r>
          </w:p>
        </w:tc>
        <w:tc>
          <w:tcPr>
            <w:tcW w:w="1597" w:type="dxa"/>
            <w:vAlign w:val="center"/>
          </w:tcPr>
          <w:p w:rsidRPr="00685B70" w:rsidR="00685B70" w:rsidP="00A42DF7" w:rsidRDefault="005C537D" w14:paraId="79DB75C2" w14:textId="17F31F5B">
            <w:pPr>
              <w:rPr>
                <w:rFonts w:ascii="Arial" w:hAnsi="Arial"/>
                <w:sz w:val="22"/>
                <w:szCs w:val="22"/>
              </w:rPr>
            </w:pPr>
            <w:r>
              <w:rPr>
                <w:rFonts w:ascii="Arial" w:hAnsi="Arial"/>
                <w:sz w:val="22"/>
                <w:szCs w:val="22"/>
              </w:rPr>
              <w:t xml:space="preserve">Good </w:t>
            </w:r>
          </w:p>
        </w:tc>
        <w:tc>
          <w:tcPr>
            <w:tcW w:w="1598" w:type="dxa"/>
            <w:vAlign w:val="center"/>
          </w:tcPr>
          <w:p w:rsidRPr="00685B70" w:rsidR="00685B70" w:rsidP="00A42DF7" w:rsidRDefault="005C537D" w14:paraId="734190C1" w14:textId="7739EBD4">
            <w:pPr>
              <w:rPr>
                <w:rFonts w:ascii="Arial" w:hAnsi="Arial"/>
                <w:sz w:val="22"/>
                <w:szCs w:val="22"/>
              </w:rPr>
            </w:pPr>
            <w:r>
              <w:rPr>
                <w:rFonts w:ascii="Arial" w:hAnsi="Arial"/>
                <w:sz w:val="22"/>
                <w:szCs w:val="22"/>
              </w:rPr>
              <w:t xml:space="preserve">Good </w:t>
            </w:r>
          </w:p>
        </w:tc>
        <w:tc>
          <w:tcPr>
            <w:tcW w:w="1598" w:type="dxa"/>
            <w:vAlign w:val="center"/>
          </w:tcPr>
          <w:p w:rsidRPr="00685B70" w:rsidR="00685B70" w:rsidP="00A42DF7" w:rsidRDefault="00BE5BBA" w14:paraId="355B30ED" w14:textId="462878A7">
            <w:pPr>
              <w:rPr>
                <w:rFonts w:ascii="Arial" w:hAnsi="Arial"/>
                <w:sz w:val="22"/>
                <w:szCs w:val="22"/>
              </w:rPr>
            </w:pPr>
            <w:r>
              <w:rPr>
                <w:rFonts w:ascii="Arial" w:hAnsi="Arial"/>
                <w:sz w:val="22"/>
                <w:szCs w:val="22"/>
              </w:rPr>
              <w:t xml:space="preserve">Good </w:t>
            </w:r>
          </w:p>
        </w:tc>
        <w:tc>
          <w:tcPr>
            <w:tcW w:w="7087" w:type="dxa"/>
            <w:vAlign w:val="center"/>
          </w:tcPr>
          <w:p w:rsidRPr="00685B70" w:rsidR="00685B70" w:rsidP="00A42DF7" w:rsidRDefault="00BE5BBA" w14:paraId="0670D4D5" w14:textId="2ECEA966">
            <w:pPr>
              <w:rPr>
                <w:rFonts w:ascii="Arial" w:hAnsi="Arial"/>
                <w:sz w:val="22"/>
                <w:szCs w:val="22"/>
              </w:rPr>
            </w:pPr>
            <w:r>
              <w:rPr>
                <w:rFonts w:ascii="Arial" w:hAnsi="Arial"/>
                <w:sz w:val="22"/>
                <w:szCs w:val="22"/>
              </w:rPr>
              <w:t>Satisfactory</w:t>
            </w:r>
          </w:p>
        </w:tc>
      </w:tr>
      <w:tr w:rsidRPr="00982061" w:rsidR="00685B70" w:rsidTr="005B7CCF" w14:paraId="12604706" w14:textId="77777777">
        <w:trPr>
          <w:trHeight w:val="680"/>
        </w:trPr>
        <w:tc>
          <w:tcPr>
            <w:tcW w:w="3424" w:type="dxa"/>
            <w:vAlign w:val="center"/>
          </w:tcPr>
          <w:p w:rsidRPr="00685B70" w:rsidR="00685B70" w:rsidP="00A42DF7" w:rsidRDefault="00685B70" w14:paraId="23CE7C41" w14:textId="77777777">
            <w:pPr>
              <w:rPr>
                <w:rFonts w:ascii="Arial" w:hAnsi="Arial"/>
                <w:sz w:val="22"/>
                <w:szCs w:val="22"/>
              </w:rPr>
            </w:pPr>
            <w:r w:rsidRPr="00685B70">
              <w:rPr>
                <w:rFonts w:ascii="Arial" w:hAnsi="Arial"/>
                <w:sz w:val="22"/>
                <w:szCs w:val="22"/>
              </w:rPr>
              <w:t>3.1 Ensuring wellbeing, equity and inclusion</w:t>
            </w:r>
          </w:p>
        </w:tc>
        <w:tc>
          <w:tcPr>
            <w:tcW w:w="1597" w:type="dxa"/>
            <w:vAlign w:val="center"/>
          </w:tcPr>
          <w:p w:rsidRPr="00685B70" w:rsidR="00685B70" w:rsidP="00A42DF7" w:rsidRDefault="005107B2" w14:paraId="438193F1" w14:textId="7B204D1E">
            <w:pPr>
              <w:rPr>
                <w:rFonts w:ascii="Arial" w:hAnsi="Arial"/>
                <w:sz w:val="22"/>
                <w:szCs w:val="22"/>
              </w:rPr>
            </w:pPr>
            <w:r>
              <w:rPr>
                <w:rFonts w:ascii="Arial" w:hAnsi="Arial"/>
                <w:sz w:val="22"/>
                <w:szCs w:val="22"/>
              </w:rPr>
              <w:t xml:space="preserve">Good </w:t>
            </w:r>
          </w:p>
        </w:tc>
        <w:tc>
          <w:tcPr>
            <w:tcW w:w="1598" w:type="dxa"/>
            <w:vAlign w:val="center"/>
          </w:tcPr>
          <w:p w:rsidRPr="00685B70" w:rsidR="00685B70" w:rsidP="00A42DF7" w:rsidRDefault="007C509B" w14:paraId="5D156595" w14:textId="036494A6">
            <w:pPr>
              <w:rPr>
                <w:rFonts w:ascii="Arial" w:hAnsi="Arial"/>
                <w:sz w:val="22"/>
                <w:szCs w:val="22"/>
              </w:rPr>
            </w:pPr>
            <w:r>
              <w:rPr>
                <w:rFonts w:ascii="Arial" w:hAnsi="Arial"/>
                <w:sz w:val="22"/>
                <w:szCs w:val="22"/>
              </w:rPr>
              <w:t xml:space="preserve">Good </w:t>
            </w:r>
          </w:p>
        </w:tc>
        <w:tc>
          <w:tcPr>
            <w:tcW w:w="1598" w:type="dxa"/>
            <w:vAlign w:val="center"/>
          </w:tcPr>
          <w:p w:rsidRPr="00685B70" w:rsidR="00685B70" w:rsidP="00A42DF7" w:rsidRDefault="007C509B" w14:paraId="18E6E796" w14:textId="0F56CF13">
            <w:pPr>
              <w:rPr>
                <w:rFonts w:ascii="Arial" w:hAnsi="Arial"/>
                <w:sz w:val="22"/>
                <w:szCs w:val="22"/>
              </w:rPr>
            </w:pPr>
            <w:r>
              <w:rPr>
                <w:rFonts w:ascii="Arial" w:hAnsi="Arial"/>
                <w:sz w:val="22"/>
                <w:szCs w:val="22"/>
              </w:rPr>
              <w:t>Good</w:t>
            </w:r>
          </w:p>
        </w:tc>
        <w:tc>
          <w:tcPr>
            <w:tcW w:w="7087" w:type="dxa"/>
            <w:vAlign w:val="center"/>
          </w:tcPr>
          <w:p w:rsidRPr="00685B70" w:rsidR="00685B70" w:rsidP="00A42DF7" w:rsidRDefault="00BE5BBA" w14:paraId="6D4F32E4" w14:textId="20B7B27D">
            <w:pPr>
              <w:rPr>
                <w:rFonts w:ascii="Arial" w:hAnsi="Arial"/>
                <w:sz w:val="22"/>
                <w:szCs w:val="22"/>
              </w:rPr>
            </w:pPr>
            <w:r>
              <w:rPr>
                <w:rFonts w:ascii="Arial" w:hAnsi="Arial"/>
                <w:sz w:val="22"/>
                <w:szCs w:val="22"/>
              </w:rPr>
              <w:t>Good</w:t>
            </w:r>
          </w:p>
        </w:tc>
      </w:tr>
      <w:tr w:rsidRPr="00982061" w:rsidR="00685B70" w:rsidTr="005B7CCF" w14:paraId="4F97EE93" w14:textId="77777777">
        <w:trPr>
          <w:trHeight w:val="680"/>
        </w:trPr>
        <w:tc>
          <w:tcPr>
            <w:tcW w:w="3424" w:type="dxa"/>
            <w:vAlign w:val="center"/>
          </w:tcPr>
          <w:p w:rsidRPr="00685B70" w:rsidR="00685B70" w:rsidP="00A42DF7" w:rsidRDefault="00685B70" w14:paraId="12915DC4" w14:textId="77777777">
            <w:pPr>
              <w:rPr>
                <w:rFonts w:ascii="Arial" w:hAnsi="Arial"/>
                <w:sz w:val="22"/>
                <w:szCs w:val="22"/>
              </w:rPr>
            </w:pPr>
            <w:r w:rsidRPr="00685B70">
              <w:rPr>
                <w:rFonts w:ascii="Arial" w:hAnsi="Arial"/>
                <w:sz w:val="22"/>
                <w:szCs w:val="22"/>
              </w:rPr>
              <w:t>3.2 Raising attainment and achievement</w:t>
            </w:r>
          </w:p>
        </w:tc>
        <w:tc>
          <w:tcPr>
            <w:tcW w:w="1597" w:type="dxa"/>
            <w:vAlign w:val="center"/>
          </w:tcPr>
          <w:p w:rsidRPr="00685B70" w:rsidR="00685B70" w:rsidP="00A42DF7" w:rsidRDefault="005C537D" w14:paraId="6DC6DE99" w14:textId="7C037562">
            <w:pPr>
              <w:rPr>
                <w:rFonts w:ascii="Arial" w:hAnsi="Arial"/>
                <w:sz w:val="22"/>
                <w:szCs w:val="22"/>
              </w:rPr>
            </w:pPr>
            <w:r>
              <w:rPr>
                <w:rFonts w:ascii="Arial" w:hAnsi="Arial"/>
                <w:sz w:val="22"/>
                <w:szCs w:val="22"/>
              </w:rPr>
              <w:t xml:space="preserve">Good </w:t>
            </w:r>
          </w:p>
        </w:tc>
        <w:tc>
          <w:tcPr>
            <w:tcW w:w="1598" w:type="dxa"/>
            <w:vAlign w:val="center"/>
          </w:tcPr>
          <w:p w:rsidRPr="00685B70" w:rsidR="00685B70" w:rsidP="00A42DF7" w:rsidRDefault="005C537D" w14:paraId="01568ED8" w14:textId="3A7F9F7B">
            <w:pPr>
              <w:rPr>
                <w:rFonts w:ascii="Arial" w:hAnsi="Arial"/>
                <w:sz w:val="22"/>
                <w:szCs w:val="22"/>
              </w:rPr>
            </w:pPr>
            <w:r>
              <w:rPr>
                <w:rFonts w:ascii="Arial" w:hAnsi="Arial"/>
                <w:sz w:val="22"/>
                <w:szCs w:val="22"/>
              </w:rPr>
              <w:t xml:space="preserve">Good </w:t>
            </w:r>
          </w:p>
        </w:tc>
        <w:tc>
          <w:tcPr>
            <w:tcW w:w="1598" w:type="dxa"/>
            <w:vAlign w:val="center"/>
          </w:tcPr>
          <w:p w:rsidRPr="00685B70" w:rsidR="00685B70" w:rsidP="00A42DF7" w:rsidRDefault="00BE5BBA" w14:paraId="70B2A04D" w14:textId="6469168F">
            <w:pPr>
              <w:rPr>
                <w:rFonts w:ascii="Arial" w:hAnsi="Arial"/>
                <w:sz w:val="22"/>
                <w:szCs w:val="22"/>
              </w:rPr>
            </w:pPr>
            <w:r>
              <w:rPr>
                <w:rFonts w:ascii="Arial" w:hAnsi="Arial"/>
                <w:sz w:val="22"/>
                <w:szCs w:val="22"/>
              </w:rPr>
              <w:t>Good</w:t>
            </w:r>
          </w:p>
        </w:tc>
        <w:tc>
          <w:tcPr>
            <w:tcW w:w="7087" w:type="dxa"/>
            <w:vAlign w:val="center"/>
          </w:tcPr>
          <w:p w:rsidRPr="00685B70" w:rsidR="00685B70" w:rsidP="00A42DF7" w:rsidRDefault="00BE5BBA" w14:paraId="0FBC8DC8" w14:textId="5FC7F056">
            <w:pPr>
              <w:rPr>
                <w:rFonts w:ascii="Arial" w:hAnsi="Arial"/>
                <w:sz w:val="22"/>
                <w:szCs w:val="22"/>
              </w:rPr>
            </w:pPr>
            <w:r>
              <w:rPr>
                <w:rFonts w:ascii="Arial" w:hAnsi="Arial"/>
                <w:sz w:val="22"/>
                <w:szCs w:val="22"/>
              </w:rPr>
              <w:t>Satisfactory</w:t>
            </w:r>
          </w:p>
        </w:tc>
      </w:tr>
    </w:tbl>
    <w:p w:rsidR="00685B70" w:rsidP="00685B70" w:rsidRDefault="00685B70" w14:paraId="12A84ABB" w14:textId="685D2B86">
      <w:pPr>
        <w:rPr>
          <w:rFonts w:ascii="Arial" w:hAnsi="Arial"/>
          <w:b/>
          <w:color w:val="auto"/>
          <w:highlight w:val="yellow"/>
        </w:rPr>
      </w:pPr>
    </w:p>
    <w:p w:rsidR="00E7049E" w:rsidP="00685B70" w:rsidRDefault="00E7049E" w14:paraId="595BAC03" w14:textId="2CE2E45B">
      <w:pPr>
        <w:rPr>
          <w:rFonts w:ascii="Arial" w:hAnsi="Arial"/>
          <w:b/>
          <w:color w:val="auto"/>
          <w:highlight w:val="yellow"/>
        </w:rPr>
      </w:pPr>
    </w:p>
    <w:p w:rsidR="00E7049E" w:rsidP="00685B70" w:rsidRDefault="00E7049E" w14:paraId="175F34CD" w14:textId="3A7969B9">
      <w:pPr>
        <w:rPr>
          <w:rFonts w:ascii="Arial" w:hAnsi="Arial"/>
          <w:b/>
          <w:color w:val="auto"/>
          <w:highlight w:val="yellow"/>
        </w:rPr>
      </w:pPr>
    </w:p>
    <w:p w:rsidR="00DC28BA" w:rsidP="00685B70" w:rsidRDefault="00DC28BA" w14:paraId="566C7EE2" w14:textId="77777777">
      <w:pPr>
        <w:rPr>
          <w:rFonts w:ascii="Arial" w:hAnsi="Arial"/>
          <w:b/>
          <w:color w:val="auto"/>
          <w:highlight w:val="yellow"/>
        </w:rPr>
      </w:pPr>
    </w:p>
    <w:p w:rsidR="00DC28BA" w:rsidP="00685B70" w:rsidRDefault="00DC28BA" w14:paraId="1B4C7D6B" w14:textId="77777777">
      <w:pPr>
        <w:rPr>
          <w:rFonts w:ascii="Arial" w:hAnsi="Arial"/>
          <w:b/>
          <w:color w:val="auto"/>
          <w:highlight w:val="yellow"/>
        </w:rPr>
      </w:pPr>
    </w:p>
    <w:p w:rsidRPr="007E0728" w:rsidR="00E7049E" w:rsidP="00685B70" w:rsidRDefault="00E7049E" w14:paraId="5ED9C276" w14:textId="77777777">
      <w:pPr>
        <w:rPr>
          <w:rFonts w:ascii="Arial" w:hAnsi="Arial"/>
          <w:b/>
          <w:color w:val="auto"/>
          <w:highlight w:val="yellow"/>
        </w:rPr>
      </w:pPr>
    </w:p>
    <w:p w:rsidRPr="00685B70" w:rsidR="00685B70" w:rsidP="00685B70" w:rsidRDefault="00685B70" w14:paraId="27629C99" w14:textId="77777777">
      <w:pPr>
        <w:rPr>
          <w:rFonts w:ascii="Arial" w:hAnsi="Arial"/>
          <w:b/>
          <w:color w:val="auto"/>
          <w:sz w:val="20"/>
        </w:rPr>
      </w:pPr>
    </w:p>
    <w:p w:rsidRPr="00685B70" w:rsidR="00B819AA" w:rsidP="00E7049E" w:rsidRDefault="00B819AA" w14:paraId="75439636" w14:textId="77777777">
      <w:pPr>
        <w:rPr>
          <w:rFonts w:ascii="Arial" w:hAnsi="Arial"/>
        </w:rPr>
      </w:pPr>
    </w:p>
    <w:sectPr w:rsidRPr="00685B70" w:rsidR="00B819AA" w:rsidSect="004B730B">
      <w:headerReference w:type="default" r:id="rId11"/>
      <w:footerReference w:type="even" r:id="rId12"/>
      <w:footerReference w:type="default" r:id="rId13"/>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1367" w:rsidRDefault="00291367" w14:paraId="38D729AD" w14:textId="77777777">
      <w:pPr>
        <w:spacing w:after="0" w:line="240" w:lineRule="auto"/>
      </w:pPr>
      <w:r>
        <w:separator/>
      </w:r>
    </w:p>
  </w:endnote>
  <w:endnote w:type="continuationSeparator" w:id="0">
    <w:p w:rsidR="00291367" w:rsidRDefault="00291367" w14:paraId="49A49E51"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2DF7" w:rsidRDefault="00685B70" w14:paraId="2B12B7DD" w14:textId="77777777">
    <w:pPr>
      <w:pStyle w:val="Footer"/>
      <w:pBdr>
        <w:top w:val="single" w:color="D9D9D9" w:themeColor="background1" w:themeShade="D9" w:sz="4" w:space="1"/>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p w:rsidR="00A42DF7" w:rsidRDefault="00A42DF7" w14:paraId="082457C7"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8299106"/>
      <w:docPartObj>
        <w:docPartGallery w:val="Page Numbers (Bottom of Page)"/>
        <w:docPartUnique/>
      </w:docPartObj>
    </w:sdtPr>
    <w:sdtEndPr>
      <w:rPr>
        <w:color w:val="7F7F7F" w:themeColor="background1" w:themeShade="7F"/>
        <w:spacing w:val="60"/>
      </w:rPr>
    </w:sdtEndPr>
    <w:sdtContent>
      <w:p w:rsidR="00A42DF7" w:rsidRDefault="00685B70" w14:paraId="6DEC96E8" w14:textId="58DA4F13">
        <w:pPr>
          <w:pStyle w:val="Footer"/>
          <w:pBdr>
            <w:top w:val="single" w:color="D9D9D9" w:themeColor="background1" w:themeShade="D9" w:sz="4" w:space="1"/>
          </w:pBdr>
          <w:rPr>
            <w:b/>
            <w:bCs/>
          </w:rPr>
        </w:pPr>
        <w:r>
          <w:fldChar w:fldCharType="begin"/>
        </w:r>
        <w:r>
          <w:instrText xml:space="preserve"> PAGE   \* MERGEFORMAT </w:instrText>
        </w:r>
        <w:r>
          <w:fldChar w:fldCharType="separate"/>
        </w:r>
        <w:r w:rsidRPr="00AD3C88" w:rsidR="00AD3C88">
          <w:rPr>
            <w:b/>
            <w:bCs/>
            <w:noProof/>
          </w:rPr>
          <w:t>2</w:t>
        </w:r>
        <w:r>
          <w:rPr>
            <w:b/>
            <w:bCs/>
            <w:noProof/>
          </w:rPr>
          <w:fldChar w:fldCharType="end"/>
        </w:r>
        <w:r>
          <w:rPr>
            <w:b/>
            <w:bCs/>
          </w:rPr>
          <w:t xml:space="preserve"> | </w:t>
        </w:r>
        <w:r>
          <w:rPr>
            <w:color w:val="7F7F7F" w:themeColor="background1" w:themeShade="7F"/>
            <w:spacing w:val="60"/>
          </w:rPr>
          <w:t>Page</w:t>
        </w:r>
      </w:p>
    </w:sdtContent>
  </w:sdt>
  <w:p w:rsidR="00A42DF7" w:rsidRDefault="00A42DF7" w14:paraId="28662138"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1367" w:rsidRDefault="00291367" w14:paraId="1C18D6E0" w14:textId="77777777">
      <w:pPr>
        <w:spacing w:after="0" w:line="240" w:lineRule="auto"/>
      </w:pPr>
      <w:r>
        <w:separator/>
      </w:r>
    </w:p>
  </w:footnote>
  <w:footnote w:type="continuationSeparator" w:id="0">
    <w:p w:rsidR="00291367" w:rsidRDefault="00291367" w14:paraId="6C1BAE21"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2DF7" w:rsidP="00A42DF7" w:rsidRDefault="00685B70" w14:paraId="210B8298" w14:textId="77777777">
    <w:pPr>
      <w:pStyle w:val="Header"/>
      <w:tabs>
        <w:tab w:val="clear" w:pos="9026"/>
        <w:tab w:val="left" w:pos="330"/>
        <w:tab w:val="left" w:pos="2670"/>
        <w:tab w:val="right" w:pos="14459"/>
      </w:tabs>
      <w:rPr>
        <w:rFonts w:ascii="Arial" w:hAnsi="Arial"/>
        <w:b/>
      </w:rPr>
    </w:pPr>
    <w:r>
      <w:rPr>
        <w:rFonts w:ascii="Arial" w:hAnsi="Arial"/>
        <w:b/>
      </w:rPr>
      <w:tab/>
    </w:r>
    <w:r>
      <w:rPr>
        <w:rFonts w:ascii="Arial" w:hAnsi="Arial"/>
        <w:b/>
      </w:rPr>
      <w:tab/>
    </w:r>
    <w:r>
      <w:rPr>
        <w:rFonts w:ascii="Arial" w:hAnsi="Arial"/>
        <w:b/>
      </w:rPr>
      <w:tab/>
    </w:r>
    <w:r>
      <w:rPr>
        <w:rFonts w:ascii="Arial" w:hAnsi="Arial"/>
        <w:b/>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26F3F"/>
    <w:multiLevelType w:val="hybridMultilevel"/>
    <w:tmpl w:val="30048CE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51647E2"/>
    <w:multiLevelType w:val="hybridMultilevel"/>
    <w:tmpl w:val="CF2C7C6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B3816D1"/>
    <w:multiLevelType w:val="hybridMultilevel"/>
    <w:tmpl w:val="F5EE35A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0D0A7C2F"/>
    <w:multiLevelType w:val="hybridMultilevel"/>
    <w:tmpl w:val="E00CEF1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14CF6B8D"/>
    <w:multiLevelType w:val="hybridMultilevel"/>
    <w:tmpl w:val="B142B14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30B71688"/>
    <w:multiLevelType w:val="hybridMultilevel"/>
    <w:tmpl w:val="13AE770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31467C3D"/>
    <w:multiLevelType w:val="hybridMultilevel"/>
    <w:tmpl w:val="293E8EC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467F2A75"/>
    <w:multiLevelType w:val="hybridMultilevel"/>
    <w:tmpl w:val="1446016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4F3E42F5"/>
    <w:multiLevelType w:val="hybridMultilevel"/>
    <w:tmpl w:val="DFF668B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5CD5206E"/>
    <w:multiLevelType w:val="hybridMultilevel"/>
    <w:tmpl w:val="A5E4849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64C06090"/>
    <w:multiLevelType w:val="hybridMultilevel"/>
    <w:tmpl w:val="7146EB2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1"/>
  </w:num>
  <w:num w:numId="2">
    <w:abstractNumId w:val="5"/>
  </w:num>
  <w:num w:numId="3">
    <w:abstractNumId w:val="3"/>
  </w:num>
  <w:num w:numId="4">
    <w:abstractNumId w:val="10"/>
  </w:num>
  <w:num w:numId="5">
    <w:abstractNumId w:val="6"/>
  </w:num>
  <w:num w:numId="6">
    <w:abstractNumId w:val="2"/>
  </w:num>
  <w:num w:numId="7">
    <w:abstractNumId w:val="0"/>
  </w:num>
  <w:num w:numId="8">
    <w:abstractNumId w:val="8"/>
  </w:num>
  <w:num w:numId="9">
    <w:abstractNumId w:val="9"/>
  </w:num>
  <w:num w:numId="10">
    <w:abstractNumId w:val="7"/>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B70"/>
    <w:rsid w:val="000033AD"/>
    <w:rsid w:val="000A621F"/>
    <w:rsid w:val="001117B1"/>
    <w:rsid w:val="001430B4"/>
    <w:rsid w:val="001703B2"/>
    <w:rsid w:val="001B5151"/>
    <w:rsid w:val="001E6798"/>
    <w:rsid w:val="001E82FC"/>
    <w:rsid w:val="001F43DC"/>
    <w:rsid w:val="00205301"/>
    <w:rsid w:val="00285DE7"/>
    <w:rsid w:val="00291367"/>
    <w:rsid w:val="002B7744"/>
    <w:rsid w:val="002D52DD"/>
    <w:rsid w:val="00336D34"/>
    <w:rsid w:val="00342485"/>
    <w:rsid w:val="00371001"/>
    <w:rsid w:val="003B35D6"/>
    <w:rsid w:val="003C198B"/>
    <w:rsid w:val="004528EE"/>
    <w:rsid w:val="004B4EB0"/>
    <w:rsid w:val="004B730B"/>
    <w:rsid w:val="004D304B"/>
    <w:rsid w:val="005107B2"/>
    <w:rsid w:val="0051309C"/>
    <w:rsid w:val="005B7CCF"/>
    <w:rsid w:val="005C537D"/>
    <w:rsid w:val="00622101"/>
    <w:rsid w:val="00632735"/>
    <w:rsid w:val="00685B70"/>
    <w:rsid w:val="006A36D9"/>
    <w:rsid w:val="006A786F"/>
    <w:rsid w:val="006D1C09"/>
    <w:rsid w:val="007C509B"/>
    <w:rsid w:val="007E72EE"/>
    <w:rsid w:val="00815419"/>
    <w:rsid w:val="0083BE6B"/>
    <w:rsid w:val="00850557"/>
    <w:rsid w:val="00891913"/>
    <w:rsid w:val="00894DC0"/>
    <w:rsid w:val="008F6546"/>
    <w:rsid w:val="00952A94"/>
    <w:rsid w:val="00954E1D"/>
    <w:rsid w:val="00977A8D"/>
    <w:rsid w:val="009C50AC"/>
    <w:rsid w:val="009D14A6"/>
    <w:rsid w:val="009D6FB8"/>
    <w:rsid w:val="009F20D0"/>
    <w:rsid w:val="00A0168C"/>
    <w:rsid w:val="00A174AA"/>
    <w:rsid w:val="00A42DF7"/>
    <w:rsid w:val="00A464B6"/>
    <w:rsid w:val="00A74182"/>
    <w:rsid w:val="00A74E30"/>
    <w:rsid w:val="00AA38B6"/>
    <w:rsid w:val="00AD3C88"/>
    <w:rsid w:val="00AE226A"/>
    <w:rsid w:val="00B1698A"/>
    <w:rsid w:val="00B21D51"/>
    <w:rsid w:val="00B819AA"/>
    <w:rsid w:val="00BC474F"/>
    <w:rsid w:val="00BD6D71"/>
    <w:rsid w:val="00BE5BBA"/>
    <w:rsid w:val="00BF18EF"/>
    <w:rsid w:val="00C558C0"/>
    <w:rsid w:val="00C72E72"/>
    <w:rsid w:val="00CA3255"/>
    <w:rsid w:val="00D12CA2"/>
    <w:rsid w:val="00D159A6"/>
    <w:rsid w:val="00D758AE"/>
    <w:rsid w:val="00DC28BA"/>
    <w:rsid w:val="00DD069A"/>
    <w:rsid w:val="00E7049E"/>
    <w:rsid w:val="00E72155"/>
    <w:rsid w:val="00EC7FFD"/>
    <w:rsid w:val="00EF5F19"/>
    <w:rsid w:val="00FA3A2D"/>
    <w:rsid w:val="00FC683A"/>
    <w:rsid w:val="00FF126E"/>
    <w:rsid w:val="0264BD5C"/>
    <w:rsid w:val="02B27F16"/>
    <w:rsid w:val="02B88998"/>
    <w:rsid w:val="0340582E"/>
    <w:rsid w:val="0350D4B7"/>
    <w:rsid w:val="03A333CF"/>
    <w:rsid w:val="03B5B80A"/>
    <w:rsid w:val="03C95BC2"/>
    <w:rsid w:val="041A22C6"/>
    <w:rsid w:val="048CBC46"/>
    <w:rsid w:val="04A0DB4A"/>
    <w:rsid w:val="054C1812"/>
    <w:rsid w:val="0717C199"/>
    <w:rsid w:val="0738ECDE"/>
    <w:rsid w:val="0750431F"/>
    <w:rsid w:val="080B555C"/>
    <w:rsid w:val="0845BBAD"/>
    <w:rsid w:val="08D4DE09"/>
    <w:rsid w:val="08EB10F7"/>
    <w:rsid w:val="09C0B13E"/>
    <w:rsid w:val="0A712DA9"/>
    <w:rsid w:val="0B297701"/>
    <w:rsid w:val="0BFF0E88"/>
    <w:rsid w:val="0CAD8182"/>
    <w:rsid w:val="0DABD701"/>
    <w:rsid w:val="0DADB636"/>
    <w:rsid w:val="0DD2ABE7"/>
    <w:rsid w:val="0E164FDE"/>
    <w:rsid w:val="0E25282B"/>
    <w:rsid w:val="0E342535"/>
    <w:rsid w:val="0E483DE7"/>
    <w:rsid w:val="0E7E7AA4"/>
    <w:rsid w:val="0EA6B5FA"/>
    <w:rsid w:val="0EB5C1DE"/>
    <w:rsid w:val="107237FC"/>
    <w:rsid w:val="1198B885"/>
    <w:rsid w:val="122A09D4"/>
    <w:rsid w:val="122C77CD"/>
    <w:rsid w:val="123552BF"/>
    <w:rsid w:val="125004FA"/>
    <w:rsid w:val="13079658"/>
    <w:rsid w:val="133488E6"/>
    <w:rsid w:val="14A366B9"/>
    <w:rsid w:val="14AD27B1"/>
    <w:rsid w:val="155E2C59"/>
    <w:rsid w:val="159199AA"/>
    <w:rsid w:val="160A8E3A"/>
    <w:rsid w:val="17504655"/>
    <w:rsid w:val="1776EB98"/>
    <w:rsid w:val="17B3D209"/>
    <w:rsid w:val="188EF648"/>
    <w:rsid w:val="1895CD1B"/>
    <w:rsid w:val="18C90990"/>
    <w:rsid w:val="194FA26A"/>
    <w:rsid w:val="1953A8A1"/>
    <w:rsid w:val="195A66CC"/>
    <w:rsid w:val="1994F80B"/>
    <w:rsid w:val="19A3CA6A"/>
    <w:rsid w:val="1A0A2E78"/>
    <w:rsid w:val="1A222A59"/>
    <w:rsid w:val="1A874A9A"/>
    <w:rsid w:val="1B0FABBA"/>
    <w:rsid w:val="1B200891"/>
    <w:rsid w:val="1B3F9ACB"/>
    <w:rsid w:val="1BDDDE4D"/>
    <w:rsid w:val="1C00DB2E"/>
    <w:rsid w:val="1C52E1D8"/>
    <w:rsid w:val="1C6797A0"/>
    <w:rsid w:val="1C7BD678"/>
    <w:rsid w:val="1CA6A25A"/>
    <w:rsid w:val="1DC7DF38"/>
    <w:rsid w:val="1DEDC464"/>
    <w:rsid w:val="1E982E63"/>
    <w:rsid w:val="1EAAD335"/>
    <w:rsid w:val="1F261DBA"/>
    <w:rsid w:val="1F325612"/>
    <w:rsid w:val="1F366021"/>
    <w:rsid w:val="1F387BF0"/>
    <w:rsid w:val="1F852C45"/>
    <w:rsid w:val="1FBAEAD0"/>
    <w:rsid w:val="205E50CC"/>
    <w:rsid w:val="210B55E0"/>
    <w:rsid w:val="2120FCA6"/>
    <w:rsid w:val="21BF948A"/>
    <w:rsid w:val="21CD0A40"/>
    <w:rsid w:val="22447523"/>
    <w:rsid w:val="22D6AC01"/>
    <w:rsid w:val="22D7BB02"/>
    <w:rsid w:val="22E42735"/>
    <w:rsid w:val="230D38BE"/>
    <w:rsid w:val="23529A36"/>
    <w:rsid w:val="23564AC1"/>
    <w:rsid w:val="236616FF"/>
    <w:rsid w:val="2368DAA1"/>
    <w:rsid w:val="23DAD4F1"/>
    <w:rsid w:val="24EE6A97"/>
    <w:rsid w:val="24FA2CAD"/>
    <w:rsid w:val="255AFCDF"/>
    <w:rsid w:val="256AF4AE"/>
    <w:rsid w:val="269B2B81"/>
    <w:rsid w:val="26CD9250"/>
    <w:rsid w:val="284762D6"/>
    <w:rsid w:val="28B8E2C3"/>
    <w:rsid w:val="291A7B61"/>
    <w:rsid w:val="29B51FA0"/>
    <w:rsid w:val="29EC0AB5"/>
    <w:rsid w:val="2A1865E4"/>
    <w:rsid w:val="2A1BA482"/>
    <w:rsid w:val="2A2E6618"/>
    <w:rsid w:val="2A380BB8"/>
    <w:rsid w:val="2A8016EF"/>
    <w:rsid w:val="2BBBA1DF"/>
    <w:rsid w:val="2BF37ECA"/>
    <w:rsid w:val="2C1EEC7E"/>
    <w:rsid w:val="2C412293"/>
    <w:rsid w:val="2C4B15BC"/>
    <w:rsid w:val="2C96FBFD"/>
    <w:rsid w:val="2CB2A982"/>
    <w:rsid w:val="2CBE2C3D"/>
    <w:rsid w:val="2CD97377"/>
    <w:rsid w:val="2CEFBF02"/>
    <w:rsid w:val="2D657D48"/>
    <w:rsid w:val="2DBABCDF"/>
    <w:rsid w:val="2DCC298C"/>
    <w:rsid w:val="2DE2822B"/>
    <w:rsid w:val="2E432BAF"/>
    <w:rsid w:val="2F3F515F"/>
    <w:rsid w:val="2FE02B37"/>
    <w:rsid w:val="2FF5CCFF"/>
    <w:rsid w:val="30111439"/>
    <w:rsid w:val="305B4C39"/>
    <w:rsid w:val="30F9614C"/>
    <w:rsid w:val="31311853"/>
    <w:rsid w:val="316E0113"/>
    <w:rsid w:val="31A43526"/>
    <w:rsid w:val="321227DC"/>
    <w:rsid w:val="3244A648"/>
    <w:rsid w:val="3356389F"/>
    <w:rsid w:val="3358F155"/>
    <w:rsid w:val="3364E002"/>
    <w:rsid w:val="3432CB73"/>
    <w:rsid w:val="3489E39F"/>
    <w:rsid w:val="34BC424A"/>
    <w:rsid w:val="35831371"/>
    <w:rsid w:val="35869A5D"/>
    <w:rsid w:val="364BE626"/>
    <w:rsid w:val="3699D8DB"/>
    <w:rsid w:val="36CB31B2"/>
    <w:rsid w:val="37369494"/>
    <w:rsid w:val="3751BE96"/>
    <w:rsid w:val="37D5F0B8"/>
    <w:rsid w:val="38C369F4"/>
    <w:rsid w:val="391715AD"/>
    <w:rsid w:val="39769E0F"/>
    <w:rsid w:val="39773FDC"/>
    <w:rsid w:val="39D53689"/>
    <w:rsid w:val="3AB29A1A"/>
    <w:rsid w:val="3AD1305F"/>
    <w:rsid w:val="3B79FEBC"/>
    <w:rsid w:val="3BE847C9"/>
    <w:rsid w:val="3BECA52B"/>
    <w:rsid w:val="3BFDACC6"/>
    <w:rsid w:val="3C0CB2E6"/>
    <w:rsid w:val="3C408C71"/>
    <w:rsid w:val="3C70DD29"/>
    <w:rsid w:val="3C810C2A"/>
    <w:rsid w:val="3C91C1D3"/>
    <w:rsid w:val="3D1D7584"/>
    <w:rsid w:val="3D50A88C"/>
    <w:rsid w:val="3DAD0E02"/>
    <w:rsid w:val="3E23267D"/>
    <w:rsid w:val="3E401144"/>
    <w:rsid w:val="3F935863"/>
    <w:rsid w:val="3FA6FE13"/>
    <w:rsid w:val="3FBD01DE"/>
    <w:rsid w:val="409CCD3B"/>
    <w:rsid w:val="40BBB8EC"/>
    <w:rsid w:val="40E9D35E"/>
    <w:rsid w:val="416532F6"/>
    <w:rsid w:val="41C5EA03"/>
    <w:rsid w:val="41F5B9E8"/>
    <w:rsid w:val="42389D9C"/>
    <w:rsid w:val="4294C833"/>
    <w:rsid w:val="42961901"/>
    <w:rsid w:val="42F18477"/>
    <w:rsid w:val="43CD71E0"/>
    <w:rsid w:val="43D46DFD"/>
    <w:rsid w:val="43F2B85D"/>
    <w:rsid w:val="44136175"/>
    <w:rsid w:val="44597C60"/>
    <w:rsid w:val="44A70441"/>
    <w:rsid w:val="44ABEF85"/>
    <w:rsid w:val="452F2A6C"/>
    <w:rsid w:val="45703E5E"/>
    <w:rsid w:val="45858184"/>
    <w:rsid w:val="45C55DB0"/>
    <w:rsid w:val="460F0226"/>
    <w:rsid w:val="461F7BBC"/>
    <w:rsid w:val="47386EB0"/>
    <w:rsid w:val="47AFC7CD"/>
    <w:rsid w:val="48A7DF20"/>
    <w:rsid w:val="48F11B7F"/>
    <w:rsid w:val="4A3F46BB"/>
    <w:rsid w:val="4A5B5F69"/>
    <w:rsid w:val="4A97B53E"/>
    <w:rsid w:val="4A98CED3"/>
    <w:rsid w:val="4AE9B0BA"/>
    <w:rsid w:val="4B6B7BE3"/>
    <w:rsid w:val="4BB65157"/>
    <w:rsid w:val="4BC54B8C"/>
    <w:rsid w:val="4C101E2B"/>
    <w:rsid w:val="4C679305"/>
    <w:rsid w:val="4C75988A"/>
    <w:rsid w:val="4C914D0C"/>
    <w:rsid w:val="4CA05861"/>
    <w:rsid w:val="4D2E540C"/>
    <w:rsid w:val="4DAD84A5"/>
    <w:rsid w:val="4E2A8DA1"/>
    <w:rsid w:val="4E39C94A"/>
    <w:rsid w:val="4EBA60F7"/>
    <w:rsid w:val="4EE9A72B"/>
    <w:rsid w:val="4F10C5FF"/>
    <w:rsid w:val="4FC65E02"/>
    <w:rsid w:val="506009B8"/>
    <w:rsid w:val="50D15CFE"/>
    <w:rsid w:val="51FBDA19"/>
    <w:rsid w:val="52F1301B"/>
    <w:rsid w:val="534847AD"/>
    <w:rsid w:val="535E9274"/>
    <w:rsid w:val="537BE7CF"/>
    <w:rsid w:val="53FDA691"/>
    <w:rsid w:val="544F0043"/>
    <w:rsid w:val="54B46D91"/>
    <w:rsid w:val="55D9798C"/>
    <w:rsid w:val="56501B57"/>
    <w:rsid w:val="5660FCBE"/>
    <w:rsid w:val="567FE86F"/>
    <w:rsid w:val="57514C31"/>
    <w:rsid w:val="5756954B"/>
    <w:rsid w:val="577D7C46"/>
    <w:rsid w:val="57FCCD1F"/>
    <w:rsid w:val="581F58E6"/>
    <w:rsid w:val="58858C0D"/>
    <w:rsid w:val="5937B5E7"/>
    <w:rsid w:val="59A68CCF"/>
    <w:rsid w:val="59C286CE"/>
    <w:rsid w:val="59D49C3D"/>
    <w:rsid w:val="5A0CCAE8"/>
    <w:rsid w:val="5A9B56F2"/>
    <w:rsid w:val="5ADB9E47"/>
    <w:rsid w:val="5B425D30"/>
    <w:rsid w:val="5B91CF12"/>
    <w:rsid w:val="5BAD51BA"/>
    <w:rsid w:val="5BCBB945"/>
    <w:rsid w:val="5BE26568"/>
    <w:rsid w:val="5C629690"/>
    <w:rsid w:val="5CD44DF1"/>
    <w:rsid w:val="5CDE9BF3"/>
    <w:rsid w:val="5D0DFD5B"/>
    <w:rsid w:val="5EF11D06"/>
    <w:rsid w:val="5F0E940D"/>
    <w:rsid w:val="5FB81F46"/>
    <w:rsid w:val="60ADE03D"/>
    <w:rsid w:val="6105A991"/>
    <w:rsid w:val="61D495C8"/>
    <w:rsid w:val="624A5DE5"/>
    <w:rsid w:val="634988D5"/>
    <w:rsid w:val="63675C98"/>
    <w:rsid w:val="639060E8"/>
    <w:rsid w:val="64B8399F"/>
    <w:rsid w:val="65086537"/>
    <w:rsid w:val="65682903"/>
    <w:rsid w:val="65752A71"/>
    <w:rsid w:val="65857B25"/>
    <w:rsid w:val="6586E255"/>
    <w:rsid w:val="66B8DD2D"/>
    <w:rsid w:val="66C6870F"/>
    <w:rsid w:val="66E7CEEC"/>
    <w:rsid w:val="6703F964"/>
    <w:rsid w:val="675F0475"/>
    <w:rsid w:val="67A68E81"/>
    <w:rsid w:val="6800D574"/>
    <w:rsid w:val="684ABB52"/>
    <w:rsid w:val="68C76885"/>
    <w:rsid w:val="69AE2124"/>
    <w:rsid w:val="6A153A12"/>
    <w:rsid w:val="6CDCC9E8"/>
    <w:rsid w:val="6D5209A6"/>
    <w:rsid w:val="6ECE63FD"/>
    <w:rsid w:val="6EE71AF9"/>
    <w:rsid w:val="6F52042F"/>
    <w:rsid w:val="6F5AA5A1"/>
    <w:rsid w:val="6FA3F408"/>
    <w:rsid w:val="6FB4E8D8"/>
    <w:rsid w:val="6FE58BF1"/>
    <w:rsid w:val="70029A2B"/>
    <w:rsid w:val="71482C0F"/>
    <w:rsid w:val="714C9E28"/>
    <w:rsid w:val="72EFF7C3"/>
    <w:rsid w:val="7358D170"/>
    <w:rsid w:val="73692FEE"/>
    <w:rsid w:val="739C848E"/>
    <w:rsid w:val="747EA109"/>
    <w:rsid w:val="74B95224"/>
    <w:rsid w:val="74BCC968"/>
    <w:rsid w:val="74F96177"/>
    <w:rsid w:val="75D6FCD4"/>
    <w:rsid w:val="76390AFB"/>
    <w:rsid w:val="76720FC0"/>
    <w:rsid w:val="786303BA"/>
    <w:rsid w:val="786FF5B1"/>
    <w:rsid w:val="78A9F1AE"/>
    <w:rsid w:val="78BB127E"/>
    <w:rsid w:val="7934CA4B"/>
    <w:rsid w:val="79E943C2"/>
    <w:rsid w:val="7A56BEF6"/>
    <w:rsid w:val="7A62E79B"/>
    <w:rsid w:val="7B15BBAE"/>
    <w:rsid w:val="7B1A6E8F"/>
    <w:rsid w:val="7B3B2982"/>
    <w:rsid w:val="7B7ABC31"/>
    <w:rsid w:val="7C91D75C"/>
    <w:rsid w:val="7CE6E239"/>
    <w:rsid w:val="7CF3A573"/>
    <w:rsid w:val="7EB29425"/>
    <w:rsid w:val="7F2D1C99"/>
    <w:rsid w:val="7F4A9A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311511"/>
  <w15:chartTrackingRefBased/>
  <w15:docId w15:val="{2921AA5B-0ED3-4A4D-821C-07EB6F956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685B70"/>
    <w:pPr>
      <w:spacing w:after="200" w:line="276" w:lineRule="auto"/>
    </w:pPr>
    <w:rPr>
      <w:rFonts w:ascii="Gill Sans MT" w:hAnsi="Gill Sans MT" w:cs="Arial"/>
      <w:color w:val="333333"/>
      <w:sz w:val="24"/>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685B70"/>
    <w:pPr>
      <w:ind w:left="720"/>
      <w:contextualSpacing/>
    </w:pPr>
  </w:style>
  <w:style w:type="paragraph" w:styleId="Header">
    <w:name w:val="header"/>
    <w:basedOn w:val="Normal"/>
    <w:link w:val="HeaderChar"/>
    <w:uiPriority w:val="99"/>
    <w:unhideWhenUsed/>
    <w:rsid w:val="00685B70"/>
    <w:pPr>
      <w:tabs>
        <w:tab w:val="center" w:pos="4513"/>
        <w:tab w:val="right" w:pos="9026"/>
      </w:tabs>
      <w:spacing w:after="0" w:line="240" w:lineRule="auto"/>
    </w:pPr>
  </w:style>
  <w:style w:type="character" w:styleId="HeaderChar" w:customStyle="1">
    <w:name w:val="Header Char"/>
    <w:basedOn w:val="DefaultParagraphFont"/>
    <w:link w:val="Header"/>
    <w:uiPriority w:val="99"/>
    <w:rsid w:val="00685B70"/>
    <w:rPr>
      <w:rFonts w:ascii="Gill Sans MT" w:hAnsi="Gill Sans MT" w:cs="Arial"/>
      <w:color w:val="333333"/>
      <w:sz w:val="24"/>
      <w:szCs w:val="20"/>
    </w:rPr>
  </w:style>
  <w:style w:type="paragraph" w:styleId="Footer">
    <w:name w:val="footer"/>
    <w:basedOn w:val="Normal"/>
    <w:link w:val="FooterChar"/>
    <w:uiPriority w:val="99"/>
    <w:unhideWhenUsed/>
    <w:rsid w:val="00685B70"/>
    <w:pPr>
      <w:tabs>
        <w:tab w:val="center" w:pos="4513"/>
        <w:tab w:val="right" w:pos="9026"/>
      </w:tabs>
      <w:spacing w:after="0" w:line="240" w:lineRule="auto"/>
    </w:pPr>
  </w:style>
  <w:style w:type="character" w:styleId="FooterChar" w:customStyle="1">
    <w:name w:val="Footer Char"/>
    <w:basedOn w:val="DefaultParagraphFont"/>
    <w:link w:val="Footer"/>
    <w:uiPriority w:val="99"/>
    <w:rsid w:val="00685B70"/>
    <w:rPr>
      <w:rFonts w:ascii="Gill Sans MT" w:hAnsi="Gill Sans MT" w:cs="Arial"/>
      <w:color w:val="333333"/>
      <w:sz w:val="24"/>
      <w:szCs w:val="20"/>
    </w:rPr>
  </w:style>
  <w:style w:type="table" w:styleId="TableGrid">
    <w:name w:val="Table Grid"/>
    <w:basedOn w:val="TableNormal"/>
    <w:uiPriority w:val="39"/>
    <w:rsid w:val="00685B7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normaltextrun" w:customStyle="1">
    <w:name w:val="normaltextrun"/>
    <w:basedOn w:val="DefaultParagraphFont"/>
    <w:rsid w:val="00205301"/>
  </w:style>
  <w:style w:type="character" w:styleId="eop" w:customStyle="1">
    <w:name w:val="eop"/>
    <w:basedOn w:val="DefaultParagraphFont"/>
    <w:rsid w:val="00205301"/>
  </w:style>
  <w:style w:type="character" w:styleId="Hyperlink">
    <w:name w:val="Hyperlink"/>
    <w:basedOn w:val="DefaultParagraphFont"/>
    <w:uiPriority w:val="99"/>
    <w:unhideWhenUsed/>
    <w:rsid w:val="005B7CC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4375862">
      <w:bodyDiv w:val="1"/>
      <w:marLeft w:val="0"/>
      <w:marRight w:val="0"/>
      <w:marTop w:val="0"/>
      <w:marBottom w:val="0"/>
      <w:divBdr>
        <w:top w:val="none" w:sz="0" w:space="0" w:color="auto"/>
        <w:left w:val="none" w:sz="0" w:space="0" w:color="auto"/>
        <w:bottom w:val="none" w:sz="0" w:space="0" w:color="auto"/>
        <w:right w:val="none" w:sz="0" w:space="0" w:color="auto"/>
      </w:divBdr>
      <w:divsChild>
        <w:div w:id="507401862">
          <w:marLeft w:val="0"/>
          <w:marRight w:val="0"/>
          <w:marTop w:val="0"/>
          <w:marBottom w:val="0"/>
          <w:divBdr>
            <w:top w:val="none" w:sz="0" w:space="0" w:color="auto"/>
            <w:left w:val="none" w:sz="0" w:space="0" w:color="auto"/>
            <w:bottom w:val="none" w:sz="0" w:space="0" w:color="auto"/>
            <w:right w:val="none" w:sz="0" w:space="0" w:color="auto"/>
          </w:divBdr>
        </w:div>
        <w:div w:id="1807895129">
          <w:marLeft w:val="0"/>
          <w:marRight w:val="0"/>
          <w:marTop w:val="0"/>
          <w:marBottom w:val="0"/>
          <w:divBdr>
            <w:top w:val="none" w:sz="0" w:space="0" w:color="auto"/>
            <w:left w:val="none" w:sz="0" w:space="0" w:color="auto"/>
            <w:bottom w:val="none" w:sz="0" w:space="0" w:color="auto"/>
            <w:right w:val="none" w:sz="0" w:space="0" w:color="auto"/>
          </w:divBdr>
        </w:div>
      </w:divsChild>
    </w:div>
    <w:div w:id="1796173494">
      <w:bodyDiv w:val="1"/>
      <w:marLeft w:val="0"/>
      <w:marRight w:val="0"/>
      <w:marTop w:val="0"/>
      <w:marBottom w:val="0"/>
      <w:divBdr>
        <w:top w:val="none" w:sz="0" w:space="0" w:color="auto"/>
        <w:left w:val="none" w:sz="0" w:space="0" w:color="auto"/>
        <w:bottom w:val="none" w:sz="0" w:space="0" w:color="auto"/>
        <w:right w:val="none" w:sz="0" w:space="0" w:color="auto"/>
      </w:divBdr>
      <w:divsChild>
        <w:div w:id="318777832">
          <w:marLeft w:val="0"/>
          <w:marRight w:val="0"/>
          <w:marTop w:val="0"/>
          <w:marBottom w:val="0"/>
          <w:divBdr>
            <w:top w:val="none" w:sz="0" w:space="0" w:color="auto"/>
            <w:left w:val="none" w:sz="0" w:space="0" w:color="auto"/>
            <w:bottom w:val="none" w:sz="0" w:space="0" w:color="auto"/>
            <w:right w:val="none" w:sz="0" w:space="0" w:color="auto"/>
          </w:divBdr>
        </w:div>
        <w:div w:id="989167379">
          <w:marLeft w:val="0"/>
          <w:marRight w:val="0"/>
          <w:marTop w:val="0"/>
          <w:marBottom w:val="0"/>
          <w:divBdr>
            <w:top w:val="none" w:sz="0" w:space="0" w:color="auto"/>
            <w:left w:val="none" w:sz="0" w:space="0" w:color="auto"/>
            <w:bottom w:val="none" w:sz="0" w:space="0" w:color="auto"/>
            <w:right w:val="none" w:sz="0" w:space="0" w:color="auto"/>
          </w:divBdr>
        </w:div>
        <w:div w:id="649558463">
          <w:marLeft w:val="0"/>
          <w:marRight w:val="0"/>
          <w:marTop w:val="0"/>
          <w:marBottom w:val="0"/>
          <w:divBdr>
            <w:top w:val="none" w:sz="0" w:space="0" w:color="auto"/>
            <w:left w:val="none" w:sz="0" w:space="0" w:color="auto"/>
            <w:bottom w:val="none" w:sz="0" w:space="0" w:color="auto"/>
            <w:right w:val="none" w:sz="0" w:space="0" w:color="auto"/>
          </w:divBdr>
        </w:div>
        <w:div w:id="774902883">
          <w:marLeft w:val="0"/>
          <w:marRight w:val="0"/>
          <w:marTop w:val="0"/>
          <w:marBottom w:val="0"/>
          <w:divBdr>
            <w:top w:val="none" w:sz="0" w:space="0" w:color="auto"/>
            <w:left w:val="none" w:sz="0" w:space="0" w:color="auto"/>
            <w:bottom w:val="none" w:sz="0" w:space="0" w:color="auto"/>
            <w:right w:val="none" w:sz="0" w:space="0" w:color="auto"/>
          </w:divBdr>
        </w:div>
        <w:div w:id="407920439">
          <w:marLeft w:val="0"/>
          <w:marRight w:val="0"/>
          <w:marTop w:val="0"/>
          <w:marBottom w:val="0"/>
          <w:divBdr>
            <w:top w:val="none" w:sz="0" w:space="0" w:color="auto"/>
            <w:left w:val="none" w:sz="0" w:space="0" w:color="auto"/>
            <w:bottom w:val="none" w:sz="0" w:space="0" w:color="auto"/>
            <w:right w:val="none" w:sz="0" w:space="0" w:color="auto"/>
          </w:divBdr>
        </w:div>
        <w:div w:id="16546784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hyperlink" Target="http://www.scottishautism.org/" TargetMode="Externa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ntTable" Target="fontTable.xml" Id="rId14" /><Relationship Type="http://schemas.openxmlformats.org/officeDocument/2006/relationships/glossaryDocument" Target="glossary/document.xml" Id="Rb76d2608f48043db"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fdf3373c-7edd-4385-9014-2fe1f1ea1444}"/>
      </w:docPartPr>
      <w:docPartBody>
        <w:p w14:paraId="1F414F51">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a5b26114-7623-495f-8a28-e2364bc23270">
      <UserInfo>
        <DisplayName>Mark Pitblado</DisplayName>
        <AccountId>242</AccountId>
        <AccountType/>
      </UserInfo>
      <UserInfo>
        <DisplayName>Kate Balsillie</DisplayName>
        <AccountId>61</AccountId>
        <AccountType/>
      </UserInfo>
    </SharedWithUsers>
    <lcf76f155ced4ddcb4097134ff3c332f xmlns="05d988f6-edfe-4818-8e90-ac11e57d3a2b">
      <Terms xmlns="http://schemas.microsoft.com/office/infopath/2007/PartnerControls"/>
    </lcf76f155ced4ddcb4097134ff3c332f>
    <TaxCatchAll xmlns="a5b26114-7623-495f-8a28-e2364bc2327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176DCF8EA1CC248A5DC97B4CF560932" ma:contentTypeVersion="15" ma:contentTypeDescription="Create a new document." ma:contentTypeScope="" ma:versionID="952f6c229fbea412ed33b6cd759537e3">
  <xsd:schema xmlns:xsd="http://www.w3.org/2001/XMLSchema" xmlns:xs="http://www.w3.org/2001/XMLSchema" xmlns:p="http://schemas.microsoft.com/office/2006/metadata/properties" xmlns:ns2="05d988f6-edfe-4818-8e90-ac11e57d3a2b" xmlns:ns3="a5b26114-7623-495f-8a28-e2364bc23270" targetNamespace="http://schemas.microsoft.com/office/2006/metadata/properties" ma:root="true" ma:fieldsID="be32ca18564e9277fac9c282b315dc35" ns2:_="" ns3:_="">
    <xsd:import namespace="05d988f6-edfe-4818-8e90-ac11e57d3a2b"/>
    <xsd:import namespace="a5b26114-7623-495f-8a28-e2364bc2327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d988f6-edfe-4818-8e90-ac11e57d3a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fcb5a32-052f-4382-b2b2-28e1c6615e99"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5b26114-7623-495f-8a28-e2364bc2327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dc2bdb9-555d-4160-a50f-53d05be3bb50}" ma:internalName="TaxCatchAll" ma:showField="CatchAllData" ma:web="a5b26114-7623-495f-8a28-e2364bc2327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E6F0F05-3C1A-4FCE-A57D-79FD681548DE}">
  <ds:schemaRefs>
    <ds:schemaRef ds:uri="http://schemas.microsoft.com/sharepoint/v3/contenttype/forms"/>
  </ds:schemaRefs>
</ds:datastoreItem>
</file>

<file path=customXml/itemProps2.xml><?xml version="1.0" encoding="utf-8"?>
<ds:datastoreItem xmlns:ds="http://schemas.openxmlformats.org/officeDocument/2006/customXml" ds:itemID="{2D426D60-B4AA-42ED-993D-78A52FF0250C}">
  <ds:schemaRefs>
    <ds:schemaRef ds:uri="http://schemas.microsoft.com/office/2006/metadata/properties"/>
    <ds:schemaRef ds:uri="http://schemas.microsoft.com/office/infopath/2007/PartnerControls"/>
    <ds:schemaRef ds:uri="dbdf342c-f02c-48b6-921f-29b7ca0cb3e1"/>
  </ds:schemaRefs>
</ds:datastoreItem>
</file>

<file path=customXml/itemProps3.xml><?xml version="1.0" encoding="utf-8"?>
<ds:datastoreItem xmlns:ds="http://schemas.openxmlformats.org/officeDocument/2006/customXml" ds:itemID="{E57ED4BF-4971-4E65-95B4-AC366E5473C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 f</dc:creator>
  <cp:keywords/>
  <dc:description/>
  <cp:lastModifiedBy>Lee-Anne McAulay</cp:lastModifiedBy>
  <cp:revision>10</cp:revision>
  <dcterms:created xsi:type="dcterms:W3CDTF">2023-06-01T09:07:00Z</dcterms:created>
  <dcterms:modified xsi:type="dcterms:W3CDTF">2023-06-27T12:56:02Z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0x0101009176DCF8EA1CC248A5DC97B4CF560932</vt:lpwstr>
  </property>
  <property fmtid="{D5CDD505-2E9C-101B-9397-08002B2CF9AE}" pid="3" name="SharedWithUsers">
    <vt:lpwstr>242;#Mark Pitblado;#61;#Kate Balsillie</vt:lpwstr>
  </property>
  <property fmtid="{D5CDD505-2E9C-101B-9397-08002B2CF9AE}" pid="4" name="MediaServiceImageTags">
    <vt:lpwstr/>
  </property>
</Properties>
</file>